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BF2634" w14:textId="77777777" w:rsidR="00E91428" w:rsidRDefault="00E510D6">
      <w:pPr>
        <w:tabs>
          <w:tab w:val="left" w:pos="3804"/>
        </w:tabs>
        <w:spacing w:beforeLines="100" w:before="312" w:afterLines="100" w:after="312" w:line="480" w:lineRule="auto"/>
        <w:rPr>
          <w:rFonts w:ascii="宋体" w:hAnsi="宋体"/>
          <w:color w:val="FFFFFF"/>
          <w:sz w:val="28"/>
        </w:rPr>
      </w:pPr>
      <w:r>
        <w:rPr>
          <w:rFonts w:ascii="黑体" w:eastAsia="黑体" w:hAnsi="宋体"/>
          <w:color w:val="FFFFFF"/>
          <w:sz w:val="28"/>
        </w:rPr>
        <w:pict w14:anchorId="74B2CB4A">
          <v:shapetype id="_x0000_t202" coordsize="21600,21600" o:spt="202" path="m,l,21600r21600,l21600,xe">
            <v:stroke joinstyle="miter"/>
            <v:path gradientshapeok="t" o:connecttype="rect"/>
          </v:shapetype>
          <v:shape id="Text Box 2" o:spid="_x0000_s1026" type="#_x0000_t202" style="position:absolute;left:0;text-align:left;margin-left:350.75pt;margin-top:7.8pt;width:178.55pt;height:31.2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" filled="f" stroked="f">
            <v:path arrowok="t"/>
            <v:textbox>
              <w:txbxContent>
                <w:p w14:paraId="132AF118" w14:textId="313D699A" w:rsidR="00E91428" w:rsidRDefault="00E510D6">
                  <w:pPr>
                    <w:rPr>
                      <w:rFonts w:ascii="黑体" w:eastAsia="黑体"/>
                      <w:sz w:val="28"/>
                    </w:rPr>
                  </w:pPr>
                  <w:r>
                    <w:rPr>
                      <w:rFonts w:ascii="黑体" w:eastAsia="黑体" w:hAnsi="Arial Black" w:hint="eastAsia"/>
                      <w:color w:val="FFFFFF"/>
                      <w:sz w:val="28"/>
                    </w:rPr>
                    <w:fldChar w:fldCharType="begin"/>
                  </w:r>
                  <w:r>
                    <w:rPr>
                      <w:rFonts w:ascii="黑体" w:eastAsia="黑体" w:hAnsi="Arial Black" w:hint="eastAsia"/>
                      <w:color w:val="FFFFFF"/>
                      <w:sz w:val="28"/>
                    </w:rPr>
                    <w:instrText xml:space="preserve"> TIME \@ "yyyy</w:instrText>
                  </w:r>
                  <w:r>
                    <w:rPr>
                      <w:rFonts w:ascii="黑体" w:eastAsia="黑体" w:hAnsi="Arial Black" w:hint="eastAsia"/>
                      <w:color w:val="FFFFFF"/>
                      <w:sz w:val="28"/>
                    </w:rPr>
                    <w:instrText>年</w:instrText>
                  </w:r>
                  <w:r>
                    <w:rPr>
                      <w:rFonts w:ascii="黑体" w:eastAsia="黑体" w:hAnsi="Arial Black" w:hint="eastAsia"/>
                      <w:color w:val="FFFFFF"/>
                      <w:sz w:val="28"/>
                    </w:rPr>
                    <w:instrText>M</w:instrText>
                  </w:r>
                  <w:r>
                    <w:rPr>
                      <w:rFonts w:ascii="黑体" w:eastAsia="黑体" w:hAnsi="Arial Black" w:hint="eastAsia"/>
                      <w:color w:val="FFFFFF"/>
                      <w:sz w:val="28"/>
                    </w:rPr>
                    <w:instrText>月</w:instrText>
                  </w:r>
                  <w:r>
                    <w:rPr>
                      <w:rFonts w:ascii="黑体" w:eastAsia="黑体" w:hAnsi="Arial Black" w:hint="eastAsia"/>
                      <w:color w:val="FFFFFF"/>
                      <w:sz w:val="28"/>
                    </w:rPr>
                    <w:instrText>d</w:instrText>
                  </w:r>
                  <w:r>
                    <w:rPr>
                      <w:rFonts w:ascii="黑体" w:eastAsia="黑体" w:hAnsi="Arial Black" w:hint="eastAsia"/>
                      <w:color w:val="FFFFFF"/>
                      <w:sz w:val="28"/>
                    </w:rPr>
                    <w:instrText>日星期</w:instrText>
                  </w:r>
                  <w:r>
                    <w:rPr>
                      <w:rFonts w:ascii="黑体" w:eastAsia="黑体" w:hAnsi="Arial Black" w:hint="eastAsia"/>
                      <w:color w:val="FFFFFF"/>
                      <w:sz w:val="28"/>
                    </w:rPr>
                    <w:instrText xml:space="preserve">W" </w:instrText>
                  </w:r>
                  <w:r>
                    <w:rPr>
                      <w:rFonts w:ascii="黑体" w:eastAsia="黑体" w:hAnsi="Arial Black" w:hint="eastAsia"/>
                      <w:color w:val="FFFFFF"/>
                      <w:sz w:val="28"/>
                    </w:rPr>
                    <w:fldChar w:fldCharType="separate"/>
                  </w:r>
                  <w:r w:rsidR="00517BB8">
                    <w:rPr>
                      <w:rFonts w:ascii="黑体" w:eastAsia="黑体" w:hAnsi="Arial Black" w:hint="eastAsia"/>
                      <w:noProof/>
                      <w:color w:val="FFFFFF"/>
                      <w:sz w:val="28"/>
                    </w:rPr>
                    <w:t>2019年2月18日星期一</w:t>
                  </w:r>
                  <w:r>
                    <w:rPr>
                      <w:rFonts w:ascii="黑体" w:eastAsia="黑体" w:hAnsi="Arial Black" w:hint="eastAsia"/>
                      <w:color w:val="FFFFFF"/>
                      <w:sz w:val="28"/>
                    </w:rPr>
                    <w:fldChar w:fldCharType="end"/>
                  </w:r>
                </w:p>
              </w:txbxContent>
            </v:textbox>
          </v:shape>
        </w:pict>
      </w:r>
      <w:r>
        <w:rPr>
          <w:rFonts w:ascii="黑体" w:eastAsia="黑体" w:hAnsi="宋体"/>
          <w:color w:val="FFFFFF"/>
          <w:sz w:val="28"/>
        </w:rPr>
        <w:pict w14:anchorId="0A2DDD6F">
          <v:shape id="未知" o:spid="_x0000_s1027" style="position:absolute;left:0;text-align:left;margin-left:-52.75pt;margin-top:92.85pt;width:657pt;height:39.7pt;z-index:-251658240;mso-position-horizontal-relative:page;mso-position-vertical-relative:page;mso-width-relative:page;mso-height-relative:page" coordsize="10880,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" adj="0,,0" path="m,l,453r10880,l10880,,,xe" fillcolor="#c00" stroked="f">
            <v:fill opacity="48573f"/>
            <v:stroke joinstyle="round"/>
            <v:formulas/>
            <v:path arrowok="t" o:connecttype="custom" o:connectlocs="0,0;0,2147483646;2147483646,2147483646;2147483646,0;0,0" o:connectangles="0,0,0,0,0" textboxrect="0,0,10880,453"/>
            <w10:wrap anchorx="page" anchory="page"/>
          </v:shape>
        </w:pict>
      </w:r>
      <w:r>
        <w:rPr>
          <w:rFonts w:ascii="黑体" w:eastAsia="黑体" w:hAnsi="宋体" w:hint="eastAsia"/>
          <w:color w:val="FFFFFF"/>
          <w:sz w:val="28"/>
        </w:rPr>
        <w:t xml:space="preserve"> </w:t>
      </w:r>
      <w:r>
        <w:rPr>
          <w:rFonts w:ascii="黑体" w:eastAsia="黑体" w:hAnsi="宋体" w:hint="eastAsia"/>
          <w:color w:val="FFFFFF"/>
          <w:sz w:val="28"/>
        </w:rPr>
        <w:t>投资咨询部：</w:t>
      </w:r>
      <w:r>
        <w:rPr>
          <w:rFonts w:ascii="黑体" w:eastAsia="黑体" w:hAnsi="宋体" w:hint="eastAsia"/>
          <w:color w:val="FFFFFF"/>
          <w:sz w:val="28"/>
        </w:rPr>
        <w:t>0571-85165192</w:t>
      </w:r>
      <w:r>
        <w:rPr>
          <w:rFonts w:ascii="黑体" w:eastAsia="黑体" w:hAnsi="宋体" w:hint="eastAsia"/>
          <w:color w:val="FFFFFF"/>
          <w:sz w:val="28"/>
        </w:rPr>
        <w:t>，</w:t>
      </w:r>
      <w:r>
        <w:rPr>
          <w:rFonts w:ascii="黑体" w:eastAsia="黑体" w:hAnsi="宋体" w:hint="eastAsia"/>
          <w:color w:val="FFFFFF"/>
          <w:sz w:val="28"/>
        </w:rPr>
        <w:t xml:space="preserve">85058093 </w:t>
      </w:r>
      <w:r>
        <w:rPr>
          <w:rFonts w:ascii="宋体" w:hAnsi="宋体" w:hint="eastAsia"/>
          <w:color w:val="FFFFFF"/>
          <w:sz w:val="28"/>
        </w:rPr>
        <w:t xml:space="preserve"> </w:t>
      </w:r>
    </w:p>
    <w:p w14:paraId="62295F65" w14:textId="3E785F62" w:rsidR="00E91428" w:rsidRDefault="00E510D6">
      <w:pPr>
        <w:jc w:val="center"/>
        <w:rPr>
          <w:rFonts w:ascii="宋体" w:hAnsi="宋体"/>
          <w:b/>
          <w:sz w:val="30"/>
        </w:rPr>
      </w:pPr>
      <w:r>
        <w:rPr>
          <w:rFonts w:ascii="宋体" w:hAnsi="宋体" w:hint="eastAsia"/>
          <w:b/>
          <w:sz w:val="30"/>
        </w:rPr>
        <w:t>新世纪期货盘前交易提示（</w:t>
      </w:r>
      <w:r>
        <w:rPr>
          <w:rFonts w:ascii="宋体" w:hAnsi="宋体"/>
          <w:b/>
          <w:sz w:val="30"/>
        </w:rPr>
        <w:fldChar w:fldCharType="begin"/>
      </w:r>
      <w:r>
        <w:rPr>
          <w:rFonts w:ascii="宋体" w:hAnsi="宋体"/>
          <w:b/>
          <w:sz w:val="30"/>
        </w:rPr>
        <w:instrText xml:space="preserve"> TIME \@ "yyyy-M-d" </w:instrText>
      </w:r>
      <w:r>
        <w:rPr>
          <w:rFonts w:ascii="宋体" w:hAnsi="宋体"/>
          <w:b/>
          <w:sz w:val="30"/>
        </w:rPr>
        <w:fldChar w:fldCharType="separate"/>
      </w:r>
      <w:r w:rsidR="00517BB8">
        <w:rPr>
          <w:rFonts w:ascii="宋体" w:hAnsi="宋体"/>
          <w:b/>
          <w:noProof/>
          <w:sz w:val="30"/>
        </w:rPr>
        <w:t>2019-2-18</w:t>
      </w:r>
      <w:r>
        <w:rPr>
          <w:rFonts w:ascii="宋体" w:hAnsi="宋体"/>
          <w:b/>
          <w:sz w:val="30"/>
        </w:rPr>
        <w:fldChar w:fldCharType="end"/>
      </w:r>
      <w:r>
        <w:rPr>
          <w:rFonts w:ascii="宋体" w:hAnsi="宋体" w:hint="eastAsia"/>
          <w:b/>
          <w:sz w:val="30"/>
        </w:rPr>
        <w:t>）</w:t>
      </w:r>
    </w:p>
    <w:p w14:paraId="683DA2F8" w14:textId="77777777" w:rsidR="00E91428" w:rsidRDefault="00E510D6">
      <w:pPr>
        <w:widowControl/>
        <w:numPr>
          <w:ilvl w:val="0"/>
          <w:numId w:val="1"/>
        </w:numPr>
        <w:spacing w:line="300" w:lineRule="auto"/>
        <w:jc w:val="left"/>
        <w:rPr>
          <w:b/>
          <w:sz w:val="24"/>
        </w:rPr>
      </w:pPr>
      <w:r>
        <w:rPr>
          <w:rFonts w:hint="eastAsia"/>
          <w:b/>
          <w:sz w:val="24"/>
        </w:rPr>
        <w:t>重点推荐品种操作策略</w:t>
      </w:r>
    </w:p>
    <w:tbl>
      <w:tblPr>
        <w:tblW w:w="9889" w:type="dxa"/>
        <w:tblBorders>
          <w:top w:val="single" w:sz="12" w:space="0" w:color="FF0000"/>
          <w:bottom w:val="single" w:sz="12" w:space="0" w:color="FF0000"/>
          <w:insideH w:val="dashed" w:sz="4" w:space="0" w:color="FF0000"/>
          <w:insideV w:val="dashed" w:sz="4" w:space="0" w:color="FF0000"/>
        </w:tblBorders>
        <w:tblLayout w:type="fixed"/>
        <w:tblLook w:val="04A0" w:firstRow="1" w:lastRow="0" w:firstColumn="1" w:lastColumn="0" w:noHBand="0" w:noVBand="1"/>
      </w:tblPr>
      <w:tblGrid>
        <w:gridCol w:w="1526"/>
        <w:gridCol w:w="1417"/>
        <w:gridCol w:w="1843"/>
        <w:gridCol w:w="1701"/>
        <w:gridCol w:w="1701"/>
        <w:gridCol w:w="1701"/>
      </w:tblGrid>
      <w:tr w:rsidR="00E91428" w14:paraId="23D6BCF1" w14:textId="77777777">
        <w:trPr>
          <w:trHeight w:val="364"/>
        </w:trPr>
        <w:tc>
          <w:tcPr>
            <w:tcW w:w="9889" w:type="dxa"/>
            <w:gridSpan w:val="6"/>
          </w:tcPr>
          <w:p w14:paraId="1FA1F8E9" w14:textId="77777777" w:rsidR="00E91428" w:rsidRDefault="00E510D6">
            <w:pPr>
              <w:widowControl/>
              <w:spacing w:line="300" w:lineRule="auto"/>
              <w:jc w:val="center"/>
              <w:rPr>
                <w:rFonts w:ascii="宋体" w:hAnsi="宋体"/>
                <w:b/>
                <w:sz w:val="24"/>
              </w:rPr>
            </w:pPr>
            <w:r>
              <w:rPr>
                <w:rFonts w:ascii="宋体" w:hAnsi="宋体" w:hint="eastAsia"/>
                <w:b/>
                <w:sz w:val="24"/>
              </w:rPr>
              <w:t>重点推荐品种交易策略参考</w:t>
            </w:r>
          </w:p>
        </w:tc>
      </w:tr>
      <w:tr w:rsidR="00E91428" w14:paraId="3E81C62E" w14:textId="77777777">
        <w:trPr>
          <w:trHeight w:val="376"/>
        </w:trPr>
        <w:tc>
          <w:tcPr>
            <w:tcW w:w="1526" w:type="dxa"/>
          </w:tcPr>
          <w:p w14:paraId="001B292B" w14:textId="77777777" w:rsidR="00E91428" w:rsidRDefault="00E510D6">
            <w:pPr>
              <w:widowControl/>
              <w:spacing w:line="300" w:lineRule="auto"/>
              <w:rPr>
                <w:rFonts w:ascii="宋体" w:hAnsi="宋体"/>
                <w:b/>
                <w:sz w:val="24"/>
              </w:rPr>
            </w:pPr>
            <w:r>
              <w:rPr>
                <w:rFonts w:ascii="宋体" w:hAnsi="宋体" w:hint="eastAsia"/>
                <w:b/>
                <w:sz w:val="24"/>
              </w:rPr>
              <w:t>品种</w:t>
            </w:r>
          </w:p>
        </w:tc>
        <w:tc>
          <w:tcPr>
            <w:tcW w:w="1417" w:type="dxa"/>
          </w:tcPr>
          <w:p w14:paraId="2D071244" w14:textId="77777777" w:rsidR="00E91428" w:rsidRDefault="00E510D6">
            <w:pPr>
              <w:widowControl/>
              <w:spacing w:line="300" w:lineRule="auto"/>
              <w:jc w:val="center"/>
              <w:rPr>
                <w:rFonts w:ascii="宋体" w:hAnsi="宋体"/>
                <w:b/>
                <w:sz w:val="24"/>
              </w:rPr>
            </w:pPr>
            <w:r>
              <w:rPr>
                <w:rFonts w:ascii="宋体" w:hAnsi="宋体" w:hint="eastAsia"/>
                <w:b/>
                <w:sz w:val="24"/>
              </w:rPr>
              <w:t>方向</w:t>
            </w:r>
          </w:p>
        </w:tc>
        <w:tc>
          <w:tcPr>
            <w:tcW w:w="1843" w:type="dxa"/>
          </w:tcPr>
          <w:p w14:paraId="035484AA" w14:textId="77777777" w:rsidR="00E91428" w:rsidRDefault="00E510D6">
            <w:pPr>
              <w:spacing w:line="300" w:lineRule="auto"/>
              <w:jc w:val="center"/>
              <w:rPr>
                <w:rFonts w:ascii="宋体" w:hAnsi="宋体"/>
                <w:b/>
                <w:sz w:val="24"/>
              </w:rPr>
            </w:pPr>
            <w:r>
              <w:rPr>
                <w:rFonts w:ascii="宋体" w:hAnsi="宋体" w:hint="eastAsia"/>
                <w:b/>
                <w:sz w:val="24"/>
              </w:rPr>
              <w:t>入场</w:t>
            </w:r>
          </w:p>
        </w:tc>
        <w:tc>
          <w:tcPr>
            <w:tcW w:w="1701" w:type="dxa"/>
          </w:tcPr>
          <w:p w14:paraId="5C7213F8" w14:textId="77777777" w:rsidR="00E91428" w:rsidRDefault="00E510D6">
            <w:pPr>
              <w:widowControl/>
              <w:spacing w:line="300" w:lineRule="auto"/>
              <w:jc w:val="center"/>
              <w:rPr>
                <w:rFonts w:ascii="宋体" w:hAnsi="宋体"/>
                <w:b/>
                <w:sz w:val="24"/>
              </w:rPr>
            </w:pPr>
            <w:r>
              <w:rPr>
                <w:rFonts w:ascii="宋体" w:hAnsi="宋体" w:hint="eastAsia"/>
                <w:b/>
                <w:sz w:val="24"/>
              </w:rPr>
              <w:t>止损</w:t>
            </w:r>
          </w:p>
        </w:tc>
        <w:tc>
          <w:tcPr>
            <w:tcW w:w="1701" w:type="dxa"/>
          </w:tcPr>
          <w:p w14:paraId="1F75035D" w14:textId="77777777" w:rsidR="00E91428" w:rsidRDefault="00E510D6">
            <w:pPr>
              <w:widowControl/>
              <w:spacing w:line="300" w:lineRule="auto"/>
              <w:jc w:val="center"/>
              <w:rPr>
                <w:rFonts w:ascii="宋体" w:hAnsi="宋体"/>
                <w:b/>
                <w:sz w:val="24"/>
              </w:rPr>
            </w:pPr>
            <w:r>
              <w:rPr>
                <w:rFonts w:ascii="宋体" w:hAnsi="宋体" w:hint="eastAsia"/>
                <w:b/>
                <w:sz w:val="24"/>
              </w:rPr>
              <w:t>止盈</w:t>
            </w:r>
          </w:p>
        </w:tc>
        <w:tc>
          <w:tcPr>
            <w:tcW w:w="1701" w:type="dxa"/>
          </w:tcPr>
          <w:p w14:paraId="670ED156" w14:textId="77777777" w:rsidR="00E91428" w:rsidRDefault="00E510D6">
            <w:pPr>
              <w:widowControl/>
              <w:spacing w:line="300" w:lineRule="auto"/>
              <w:jc w:val="center"/>
              <w:rPr>
                <w:rFonts w:ascii="宋体" w:hAnsi="宋体"/>
                <w:b/>
                <w:sz w:val="24"/>
              </w:rPr>
            </w:pPr>
            <w:r>
              <w:rPr>
                <w:rFonts w:ascii="宋体" w:hAnsi="宋体" w:hint="eastAsia"/>
                <w:b/>
                <w:sz w:val="24"/>
              </w:rPr>
              <w:t>状态</w:t>
            </w:r>
          </w:p>
        </w:tc>
      </w:tr>
      <w:tr w:rsidR="00E91428" w14:paraId="5CD23A92" w14:textId="77777777">
        <w:trPr>
          <w:trHeight w:val="400"/>
        </w:trPr>
        <w:tc>
          <w:tcPr>
            <w:tcW w:w="1526" w:type="dxa"/>
          </w:tcPr>
          <w:p w14:paraId="139CA8CE" w14:textId="77777777" w:rsidR="00E91428" w:rsidRDefault="00E510D6">
            <w:pPr>
              <w:widowControl/>
              <w:jc w:val="left"/>
              <w:rPr>
                <w:rFonts w:ascii="宋体" w:hAnsi="宋体" w:cs="宋体"/>
                <w:kern w:val="0"/>
                <w:sz w:val="24"/>
                <w:szCs w:val="24"/>
              </w:rPr>
            </w:pPr>
            <w:r>
              <w:rPr>
                <w:rFonts w:ascii="宋体" w:hAnsi="宋体" w:cs="宋体"/>
                <w:kern w:val="0"/>
                <w:sz w:val="24"/>
                <w:szCs w:val="24"/>
              </w:rPr>
              <w:t>CF1905</w:t>
            </w:r>
          </w:p>
        </w:tc>
        <w:tc>
          <w:tcPr>
            <w:tcW w:w="1417" w:type="dxa"/>
          </w:tcPr>
          <w:p w14:paraId="7C04B55C"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空</w:t>
            </w:r>
          </w:p>
        </w:tc>
        <w:tc>
          <w:tcPr>
            <w:tcW w:w="1843" w:type="dxa"/>
          </w:tcPr>
          <w:p w14:paraId="5BAE720C" w14:textId="77777777" w:rsidR="00E91428" w:rsidRDefault="00E510D6">
            <w:pPr>
              <w:jc w:val="center"/>
              <w:rPr>
                <w:rFonts w:ascii="宋体" w:hAnsi="宋体" w:cs="宋体"/>
                <w:kern w:val="0"/>
                <w:sz w:val="24"/>
                <w:szCs w:val="24"/>
              </w:rPr>
            </w:pPr>
            <w:r>
              <w:rPr>
                <w:rFonts w:ascii="宋体" w:hAnsi="宋体" w:cs="宋体"/>
                <w:kern w:val="0"/>
                <w:sz w:val="24"/>
                <w:szCs w:val="24"/>
              </w:rPr>
              <w:t>15500-15700</w:t>
            </w:r>
          </w:p>
        </w:tc>
        <w:tc>
          <w:tcPr>
            <w:tcW w:w="1701" w:type="dxa"/>
          </w:tcPr>
          <w:p w14:paraId="4E5A184A" w14:textId="77777777" w:rsidR="00E91428" w:rsidRDefault="00E510D6">
            <w:pPr>
              <w:jc w:val="center"/>
              <w:rPr>
                <w:rFonts w:ascii="宋体" w:hAnsi="宋体" w:cs="宋体"/>
                <w:kern w:val="0"/>
                <w:sz w:val="24"/>
                <w:szCs w:val="24"/>
              </w:rPr>
            </w:pPr>
            <w:r>
              <w:rPr>
                <w:rFonts w:ascii="宋体" w:hAnsi="宋体" w:cs="宋体"/>
                <w:kern w:val="0"/>
                <w:sz w:val="24"/>
                <w:szCs w:val="24"/>
              </w:rPr>
              <w:t>15900</w:t>
            </w:r>
          </w:p>
        </w:tc>
        <w:tc>
          <w:tcPr>
            <w:tcW w:w="1701" w:type="dxa"/>
          </w:tcPr>
          <w:p w14:paraId="7162B83B" w14:textId="77777777" w:rsidR="00E91428" w:rsidRDefault="00E510D6">
            <w:pPr>
              <w:widowControl/>
              <w:jc w:val="center"/>
              <w:rPr>
                <w:rFonts w:ascii="宋体" w:hAnsi="宋体" w:cs="宋体"/>
                <w:kern w:val="0"/>
                <w:sz w:val="24"/>
                <w:szCs w:val="24"/>
              </w:rPr>
            </w:pPr>
            <w:r>
              <w:rPr>
                <w:rFonts w:ascii="宋体" w:hAnsi="宋体" w:cs="宋体"/>
                <w:kern w:val="0"/>
                <w:sz w:val="24"/>
                <w:szCs w:val="24"/>
              </w:rPr>
              <w:t>14000</w:t>
            </w:r>
          </w:p>
        </w:tc>
        <w:tc>
          <w:tcPr>
            <w:tcW w:w="1701" w:type="dxa"/>
          </w:tcPr>
          <w:p w14:paraId="7342981B" w14:textId="77777777" w:rsidR="00E91428" w:rsidRDefault="00E510D6">
            <w:pPr>
              <w:jc w:val="center"/>
              <w:rPr>
                <w:rFonts w:ascii="宋体" w:hAnsi="宋体"/>
                <w:kern w:val="0"/>
                <w:sz w:val="24"/>
              </w:rPr>
            </w:pPr>
            <w:r>
              <w:rPr>
                <w:rFonts w:ascii="宋体" w:hAnsi="宋体" w:hint="eastAsia"/>
                <w:kern w:val="0"/>
                <w:sz w:val="24"/>
              </w:rPr>
              <w:t>持有</w:t>
            </w:r>
          </w:p>
        </w:tc>
      </w:tr>
      <w:tr w:rsidR="00E91428" w14:paraId="519D0C97" w14:textId="77777777">
        <w:trPr>
          <w:trHeight w:val="400"/>
        </w:trPr>
        <w:tc>
          <w:tcPr>
            <w:tcW w:w="1526" w:type="dxa"/>
          </w:tcPr>
          <w:p w14:paraId="081DC923"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C</w:t>
            </w:r>
            <w:r>
              <w:rPr>
                <w:rFonts w:ascii="宋体" w:hAnsi="宋体" w:cs="宋体"/>
                <w:kern w:val="0"/>
                <w:sz w:val="24"/>
                <w:szCs w:val="24"/>
              </w:rPr>
              <w:t>1905</w:t>
            </w:r>
          </w:p>
        </w:tc>
        <w:tc>
          <w:tcPr>
            <w:tcW w:w="1417" w:type="dxa"/>
          </w:tcPr>
          <w:p w14:paraId="79B9EBE0"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空</w:t>
            </w:r>
          </w:p>
        </w:tc>
        <w:tc>
          <w:tcPr>
            <w:tcW w:w="1843" w:type="dxa"/>
          </w:tcPr>
          <w:p w14:paraId="6C9AD800" w14:textId="77777777" w:rsidR="00E91428" w:rsidRDefault="00E510D6">
            <w:pPr>
              <w:jc w:val="center"/>
              <w:rPr>
                <w:rFonts w:ascii="宋体" w:hAnsi="宋体" w:cs="宋体"/>
                <w:kern w:val="0"/>
                <w:sz w:val="24"/>
                <w:szCs w:val="24"/>
              </w:rPr>
            </w:pPr>
            <w:r>
              <w:rPr>
                <w:rFonts w:ascii="宋体" w:hAnsi="宋体" w:cs="宋体"/>
                <w:kern w:val="0"/>
                <w:sz w:val="24"/>
                <w:szCs w:val="24"/>
              </w:rPr>
              <w:t>1940-1960</w:t>
            </w:r>
          </w:p>
        </w:tc>
        <w:tc>
          <w:tcPr>
            <w:tcW w:w="1701" w:type="dxa"/>
          </w:tcPr>
          <w:p w14:paraId="0B5D59EF" w14:textId="77777777" w:rsidR="00E91428" w:rsidRDefault="00E510D6">
            <w:pPr>
              <w:jc w:val="center"/>
              <w:rPr>
                <w:rFonts w:ascii="宋体" w:hAnsi="宋体" w:cs="宋体"/>
                <w:kern w:val="0"/>
                <w:sz w:val="24"/>
                <w:szCs w:val="24"/>
              </w:rPr>
            </w:pPr>
            <w:r>
              <w:rPr>
                <w:rFonts w:ascii="宋体" w:hAnsi="宋体" w:cs="宋体"/>
                <w:kern w:val="0"/>
                <w:sz w:val="24"/>
                <w:szCs w:val="24"/>
              </w:rPr>
              <w:t>1975</w:t>
            </w:r>
          </w:p>
        </w:tc>
        <w:tc>
          <w:tcPr>
            <w:tcW w:w="1701" w:type="dxa"/>
          </w:tcPr>
          <w:p w14:paraId="174FE8E3" w14:textId="77777777" w:rsidR="00E91428" w:rsidRDefault="00E510D6">
            <w:pPr>
              <w:widowControl/>
              <w:jc w:val="center"/>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770</w:t>
            </w:r>
          </w:p>
        </w:tc>
        <w:tc>
          <w:tcPr>
            <w:tcW w:w="1701" w:type="dxa"/>
          </w:tcPr>
          <w:p w14:paraId="6FA615BE" w14:textId="77777777" w:rsidR="00E91428" w:rsidRDefault="00E510D6">
            <w:pPr>
              <w:jc w:val="center"/>
              <w:rPr>
                <w:rFonts w:ascii="宋体" w:hAnsi="宋体"/>
                <w:kern w:val="0"/>
                <w:sz w:val="24"/>
              </w:rPr>
            </w:pPr>
            <w:r>
              <w:rPr>
                <w:rFonts w:ascii="宋体" w:hAnsi="宋体" w:hint="eastAsia"/>
                <w:kern w:val="0"/>
                <w:sz w:val="24"/>
              </w:rPr>
              <w:t>持有</w:t>
            </w:r>
          </w:p>
        </w:tc>
      </w:tr>
      <w:tr w:rsidR="00E91428" w14:paraId="0BDB0A51" w14:textId="77777777">
        <w:trPr>
          <w:trHeight w:val="400"/>
        </w:trPr>
        <w:tc>
          <w:tcPr>
            <w:tcW w:w="1526" w:type="dxa"/>
          </w:tcPr>
          <w:p w14:paraId="10F8CC5C"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TA1905</w:t>
            </w:r>
          </w:p>
        </w:tc>
        <w:tc>
          <w:tcPr>
            <w:tcW w:w="1417" w:type="dxa"/>
          </w:tcPr>
          <w:p w14:paraId="33C48E2F"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多</w:t>
            </w:r>
          </w:p>
        </w:tc>
        <w:tc>
          <w:tcPr>
            <w:tcW w:w="1843" w:type="dxa"/>
          </w:tcPr>
          <w:p w14:paraId="168F73B9" w14:textId="77777777" w:rsidR="00E91428" w:rsidRDefault="00E510D6">
            <w:pPr>
              <w:tabs>
                <w:tab w:val="left" w:pos="390"/>
              </w:tabs>
              <w:jc w:val="center"/>
              <w:rPr>
                <w:rFonts w:ascii="宋体" w:hAnsi="宋体" w:cs="宋体"/>
                <w:kern w:val="0"/>
                <w:sz w:val="24"/>
                <w:szCs w:val="24"/>
              </w:rPr>
            </w:pPr>
            <w:r>
              <w:rPr>
                <w:rFonts w:ascii="宋体" w:hAnsi="宋体" w:cs="宋体" w:hint="eastAsia"/>
                <w:kern w:val="0"/>
                <w:sz w:val="24"/>
                <w:szCs w:val="24"/>
              </w:rPr>
              <w:t>6310-6450</w:t>
            </w:r>
          </w:p>
        </w:tc>
        <w:tc>
          <w:tcPr>
            <w:tcW w:w="1701" w:type="dxa"/>
          </w:tcPr>
          <w:p w14:paraId="18574119" w14:textId="77777777" w:rsidR="00E91428" w:rsidRDefault="00E510D6">
            <w:pPr>
              <w:jc w:val="center"/>
              <w:rPr>
                <w:rFonts w:ascii="宋体" w:hAnsi="宋体" w:cs="宋体"/>
                <w:kern w:val="0"/>
                <w:sz w:val="24"/>
                <w:szCs w:val="24"/>
              </w:rPr>
            </w:pPr>
            <w:r>
              <w:rPr>
                <w:rFonts w:ascii="宋体" w:hAnsi="宋体" w:cs="宋体" w:hint="eastAsia"/>
                <w:kern w:val="0"/>
                <w:sz w:val="24"/>
                <w:szCs w:val="24"/>
              </w:rPr>
              <w:t>6300</w:t>
            </w:r>
          </w:p>
        </w:tc>
        <w:tc>
          <w:tcPr>
            <w:tcW w:w="1701" w:type="dxa"/>
          </w:tcPr>
          <w:p w14:paraId="66691B18" w14:textId="77777777" w:rsidR="00E91428" w:rsidRDefault="00E510D6">
            <w:pPr>
              <w:jc w:val="center"/>
              <w:rPr>
                <w:rFonts w:ascii="宋体" w:hAnsi="宋体" w:cs="宋体"/>
                <w:kern w:val="0"/>
                <w:sz w:val="24"/>
                <w:szCs w:val="24"/>
              </w:rPr>
            </w:pPr>
            <w:r>
              <w:rPr>
                <w:rFonts w:ascii="宋体" w:hAnsi="宋体" w:cs="宋体" w:hint="eastAsia"/>
                <w:kern w:val="0"/>
                <w:sz w:val="24"/>
                <w:szCs w:val="24"/>
              </w:rPr>
              <w:t>6800</w:t>
            </w:r>
          </w:p>
        </w:tc>
        <w:tc>
          <w:tcPr>
            <w:tcW w:w="1701" w:type="dxa"/>
          </w:tcPr>
          <w:p w14:paraId="69415EB4" w14:textId="77777777" w:rsidR="00E91428" w:rsidRDefault="00E510D6">
            <w:pPr>
              <w:jc w:val="center"/>
              <w:rPr>
                <w:rFonts w:ascii="宋体" w:hAnsi="宋体"/>
                <w:kern w:val="0"/>
                <w:sz w:val="24"/>
              </w:rPr>
            </w:pPr>
            <w:r>
              <w:rPr>
                <w:rFonts w:ascii="宋体" w:hAnsi="宋体" w:hint="eastAsia"/>
                <w:kern w:val="0"/>
                <w:sz w:val="24"/>
              </w:rPr>
              <w:t>持有</w:t>
            </w:r>
          </w:p>
        </w:tc>
      </w:tr>
      <w:tr w:rsidR="00E91428" w14:paraId="56E6AE3B" w14:textId="77777777">
        <w:trPr>
          <w:trHeight w:val="400"/>
        </w:trPr>
        <w:tc>
          <w:tcPr>
            <w:tcW w:w="1526" w:type="dxa"/>
          </w:tcPr>
          <w:p w14:paraId="6D27809E" w14:textId="77777777" w:rsidR="00E91428" w:rsidRDefault="00E510D6">
            <w:pPr>
              <w:widowControl/>
              <w:jc w:val="left"/>
              <w:rPr>
                <w:rFonts w:ascii="宋体" w:hAnsi="宋体" w:cs="宋体"/>
                <w:kern w:val="0"/>
                <w:sz w:val="24"/>
                <w:szCs w:val="24"/>
              </w:rPr>
            </w:pPr>
            <w:r>
              <w:rPr>
                <w:rFonts w:ascii="宋体" w:hAnsi="宋体" w:cs="宋体"/>
                <w:kern w:val="0"/>
                <w:sz w:val="24"/>
                <w:szCs w:val="24"/>
              </w:rPr>
              <w:t>cs1905</w:t>
            </w:r>
          </w:p>
        </w:tc>
        <w:tc>
          <w:tcPr>
            <w:tcW w:w="1417" w:type="dxa"/>
          </w:tcPr>
          <w:p w14:paraId="1F7E1A46"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空</w:t>
            </w:r>
          </w:p>
        </w:tc>
        <w:tc>
          <w:tcPr>
            <w:tcW w:w="1843" w:type="dxa"/>
          </w:tcPr>
          <w:p w14:paraId="43C2A00F" w14:textId="77777777" w:rsidR="00E91428" w:rsidRDefault="00E510D6">
            <w:pPr>
              <w:tabs>
                <w:tab w:val="left" w:pos="390"/>
              </w:tabs>
              <w:jc w:val="center"/>
              <w:rPr>
                <w:rFonts w:ascii="宋体" w:hAnsi="宋体" w:cs="宋体"/>
                <w:kern w:val="0"/>
                <w:sz w:val="24"/>
                <w:szCs w:val="24"/>
              </w:rPr>
            </w:pPr>
            <w:r>
              <w:rPr>
                <w:rFonts w:ascii="宋体" w:hAnsi="宋体" w:cs="宋体"/>
                <w:kern w:val="0"/>
                <w:sz w:val="24"/>
                <w:szCs w:val="24"/>
              </w:rPr>
              <w:t>2310-2330</w:t>
            </w:r>
          </w:p>
        </w:tc>
        <w:tc>
          <w:tcPr>
            <w:tcW w:w="1701" w:type="dxa"/>
          </w:tcPr>
          <w:p w14:paraId="1C8334DF" w14:textId="77777777" w:rsidR="00E91428" w:rsidRDefault="00E510D6">
            <w:pPr>
              <w:jc w:val="center"/>
              <w:rPr>
                <w:rFonts w:ascii="宋体" w:hAnsi="宋体" w:cs="宋体"/>
                <w:kern w:val="0"/>
                <w:sz w:val="24"/>
                <w:szCs w:val="24"/>
              </w:rPr>
            </w:pPr>
            <w:r>
              <w:rPr>
                <w:rFonts w:ascii="宋体" w:hAnsi="宋体" w:cs="宋体"/>
                <w:kern w:val="0"/>
                <w:sz w:val="24"/>
                <w:szCs w:val="24"/>
              </w:rPr>
              <w:t>2345</w:t>
            </w:r>
          </w:p>
        </w:tc>
        <w:tc>
          <w:tcPr>
            <w:tcW w:w="1701" w:type="dxa"/>
          </w:tcPr>
          <w:p w14:paraId="7090052F" w14:textId="77777777" w:rsidR="00E91428" w:rsidRDefault="00E510D6">
            <w:pPr>
              <w:jc w:val="center"/>
              <w:rPr>
                <w:rFonts w:ascii="宋体" w:hAnsi="宋体" w:cs="宋体"/>
                <w:kern w:val="0"/>
                <w:sz w:val="24"/>
                <w:szCs w:val="24"/>
              </w:rPr>
            </w:pPr>
            <w:r>
              <w:rPr>
                <w:rFonts w:ascii="宋体" w:hAnsi="宋体" w:cs="宋体"/>
                <w:kern w:val="0"/>
                <w:sz w:val="24"/>
                <w:szCs w:val="24"/>
              </w:rPr>
              <w:t>2200</w:t>
            </w:r>
          </w:p>
        </w:tc>
        <w:tc>
          <w:tcPr>
            <w:tcW w:w="1701" w:type="dxa"/>
          </w:tcPr>
          <w:p w14:paraId="6023C26D" w14:textId="77777777" w:rsidR="00E91428" w:rsidRDefault="00E510D6">
            <w:pPr>
              <w:jc w:val="center"/>
              <w:rPr>
                <w:rFonts w:ascii="宋体" w:hAnsi="宋体"/>
                <w:kern w:val="0"/>
                <w:sz w:val="24"/>
              </w:rPr>
            </w:pPr>
            <w:r>
              <w:rPr>
                <w:rFonts w:ascii="宋体" w:hAnsi="宋体" w:hint="eastAsia"/>
                <w:kern w:val="0"/>
                <w:sz w:val="24"/>
              </w:rPr>
              <w:t>持有</w:t>
            </w:r>
          </w:p>
        </w:tc>
      </w:tr>
      <w:tr w:rsidR="00E91428" w14:paraId="035A2870" w14:textId="77777777">
        <w:trPr>
          <w:trHeight w:val="400"/>
        </w:trPr>
        <w:tc>
          <w:tcPr>
            <w:tcW w:w="1526" w:type="dxa"/>
          </w:tcPr>
          <w:p w14:paraId="6AB6F715"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多</w:t>
            </w:r>
            <w:r>
              <w:rPr>
                <w:rFonts w:ascii="宋体" w:hAnsi="宋体" w:cs="宋体" w:hint="eastAsia"/>
                <w:kern w:val="0"/>
                <w:sz w:val="24"/>
                <w:szCs w:val="24"/>
              </w:rPr>
              <w:t>I</w:t>
            </w:r>
            <w:r>
              <w:rPr>
                <w:rFonts w:ascii="宋体" w:hAnsi="宋体" w:cs="宋体"/>
                <w:kern w:val="0"/>
                <w:sz w:val="24"/>
                <w:szCs w:val="24"/>
              </w:rPr>
              <w:t>5</w:t>
            </w:r>
            <w:r>
              <w:rPr>
                <w:rFonts w:ascii="宋体" w:hAnsi="宋体" w:cs="宋体" w:hint="eastAsia"/>
                <w:kern w:val="0"/>
                <w:sz w:val="24"/>
                <w:szCs w:val="24"/>
              </w:rPr>
              <w:t>空</w:t>
            </w:r>
            <w:r>
              <w:rPr>
                <w:rFonts w:ascii="宋体" w:hAnsi="宋体" w:cs="宋体" w:hint="eastAsia"/>
                <w:kern w:val="0"/>
                <w:sz w:val="24"/>
                <w:szCs w:val="24"/>
              </w:rPr>
              <w:t>rb</w:t>
            </w:r>
            <w:r>
              <w:rPr>
                <w:rFonts w:ascii="宋体" w:hAnsi="宋体" w:cs="宋体"/>
                <w:kern w:val="0"/>
                <w:sz w:val="24"/>
                <w:szCs w:val="24"/>
              </w:rPr>
              <w:t>5</w:t>
            </w:r>
          </w:p>
        </w:tc>
        <w:tc>
          <w:tcPr>
            <w:tcW w:w="1417" w:type="dxa"/>
          </w:tcPr>
          <w:p w14:paraId="0831BED1"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套利</w:t>
            </w:r>
          </w:p>
        </w:tc>
        <w:tc>
          <w:tcPr>
            <w:tcW w:w="1843" w:type="dxa"/>
          </w:tcPr>
          <w:p w14:paraId="777217C3" w14:textId="77777777" w:rsidR="00E91428" w:rsidRDefault="00E510D6">
            <w:pPr>
              <w:tabs>
                <w:tab w:val="left" w:pos="390"/>
              </w:tabs>
              <w:jc w:val="center"/>
              <w:rPr>
                <w:rFonts w:ascii="宋体" w:hAnsi="宋体" w:cs="宋体"/>
                <w:kern w:val="0"/>
                <w:sz w:val="24"/>
                <w:szCs w:val="24"/>
              </w:rPr>
            </w:pPr>
            <w:r>
              <w:rPr>
                <w:rFonts w:ascii="宋体" w:hAnsi="宋体" w:cs="宋体" w:hint="eastAsia"/>
                <w:kern w:val="0"/>
                <w:sz w:val="24"/>
                <w:szCs w:val="24"/>
              </w:rPr>
              <w:t>0</w:t>
            </w:r>
            <w:r>
              <w:rPr>
                <w:rFonts w:ascii="宋体" w:hAnsi="宋体" w:cs="宋体"/>
                <w:kern w:val="0"/>
                <w:sz w:val="24"/>
                <w:szCs w:val="24"/>
              </w:rPr>
              <w:t>.158-0.165</w:t>
            </w:r>
          </w:p>
        </w:tc>
        <w:tc>
          <w:tcPr>
            <w:tcW w:w="1701" w:type="dxa"/>
          </w:tcPr>
          <w:p w14:paraId="6F068AC0" w14:textId="77777777" w:rsidR="00E91428" w:rsidRDefault="00E510D6">
            <w:pPr>
              <w:jc w:val="center"/>
              <w:rPr>
                <w:rFonts w:ascii="宋体" w:hAnsi="宋体" w:cs="宋体"/>
                <w:kern w:val="0"/>
                <w:sz w:val="24"/>
                <w:szCs w:val="24"/>
              </w:rPr>
            </w:pPr>
            <w:r>
              <w:rPr>
                <w:rFonts w:ascii="宋体" w:hAnsi="宋体" w:cs="宋体" w:hint="eastAsia"/>
                <w:kern w:val="0"/>
                <w:sz w:val="24"/>
                <w:szCs w:val="24"/>
              </w:rPr>
              <w:t>0</w:t>
            </w:r>
            <w:r>
              <w:rPr>
                <w:rFonts w:ascii="宋体" w:hAnsi="宋体" w:cs="宋体"/>
                <w:kern w:val="0"/>
                <w:sz w:val="24"/>
                <w:szCs w:val="24"/>
              </w:rPr>
              <w:t>.148</w:t>
            </w:r>
          </w:p>
        </w:tc>
        <w:tc>
          <w:tcPr>
            <w:tcW w:w="1701" w:type="dxa"/>
          </w:tcPr>
          <w:p w14:paraId="6905CBC7" w14:textId="77777777" w:rsidR="00E91428" w:rsidRDefault="00E510D6">
            <w:pPr>
              <w:jc w:val="center"/>
              <w:rPr>
                <w:rFonts w:ascii="宋体" w:hAnsi="宋体" w:cs="宋体"/>
                <w:kern w:val="0"/>
                <w:sz w:val="24"/>
                <w:szCs w:val="24"/>
              </w:rPr>
            </w:pPr>
            <w:r>
              <w:rPr>
                <w:rFonts w:ascii="宋体" w:hAnsi="宋体" w:cs="宋体" w:hint="eastAsia"/>
                <w:kern w:val="0"/>
                <w:sz w:val="24"/>
                <w:szCs w:val="24"/>
              </w:rPr>
              <w:t>0</w:t>
            </w:r>
            <w:r>
              <w:rPr>
                <w:rFonts w:ascii="宋体" w:hAnsi="宋体" w:cs="宋体"/>
                <w:kern w:val="0"/>
                <w:sz w:val="24"/>
                <w:szCs w:val="24"/>
              </w:rPr>
              <w:t>.2</w:t>
            </w:r>
          </w:p>
        </w:tc>
        <w:tc>
          <w:tcPr>
            <w:tcW w:w="1701" w:type="dxa"/>
          </w:tcPr>
          <w:p w14:paraId="1E677E04" w14:textId="77777777" w:rsidR="00E91428" w:rsidRDefault="00E510D6">
            <w:pPr>
              <w:jc w:val="center"/>
              <w:rPr>
                <w:rFonts w:ascii="宋体" w:hAnsi="宋体"/>
                <w:kern w:val="0"/>
                <w:sz w:val="24"/>
              </w:rPr>
            </w:pPr>
            <w:r>
              <w:rPr>
                <w:rFonts w:ascii="宋体" w:hAnsi="宋体" w:hint="eastAsia"/>
                <w:kern w:val="0"/>
                <w:sz w:val="24"/>
              </w:rPr>
              <w:t>持有</w:t>
            </w:r>
          </w:p>
        </w:tc>
      </w:tr>
      <w:tr w:rsidR="00E91428" w14:paraId="27BE09DD" w14:textId="77777777">
        <w:trPr>
          <w:trHeight w:val="400"/>
        </w:trPr>
        <w:tc>
          <w:tcPr>
            <w:tcW w:w="1526" w:type="dxa"/>
          </w:tcPr>
          <w:p w14:paraId="34CE0104" w14:textId="77777777" w:rsidR="00E91428" w:rsidRDefault="00E510D6">
            <w:pPr>
              <w:widowControl/>
              <w:jc w:val="left"/>
              <w:rPr>
                <w:rFonts w:ascii="宋体" w:hAnsi="宋体" w:cs="宋体"/>
                <w:kern w:val="0"/>
                <w:sz w:val="24"/>
                <w:szCs w:val="24"/>
              </w:rPr>
            </w:pPr>
            <w:r>
              <w:rPr>
                <w:rFonts w:ascii="宋体" w:hAnsi="宋体" w:cs="宋体"/>
                <w:kern w:val="0"/>
                <w:sz w:val="24"/>
                <w:szCs w:val="24"/>
              </w:rPr>
              <w:t xml:space="preserve">sr1905 </w:t>
            </w:r>
          </w:p>
        </w:tc>
        <w:tc>
          <w:tcPr>
            <w:tcW w:w="1417" w:type="dxa"/>
          </w:tcPr>
          <w:p w14:paraId="5E09D65C"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空</w:t>
            </w:r>
          </w:p>
        </w:tc>
        <w:tc>
          <w:tcPr>
            <w:tcW w:w="1843" w:type="dxa"/>
          </w:tcPr>
          <w:p w14:paraId="3A717471" w14:textId="77777777" w:rsidR="00E91428" w:rsidRDefault="00E510D6">
            <w:pPr>
              <w:tabs>
                <w:tab w:val="left" w:pos="390"/>
              </w:tabs>
              <w:jc w:val="center"/>
              <w:rPr>
                <w:rFonts w:ascii="宋体" w:hAnsi="宋体" w:cs="宋体"/>
                <w:kern w:val="0"/>
                <w:sz w:val="24"/>
                <w:szCs w:val="24"/>
              </w:rPr>
            </w:pPr>
            <w:r>
              <w:rPr>
                <w:rFonts w:ascii="宋体" w:hAnsi="宋体" w:cs="宋体"/>
                <w:kern w:val="0"/>
                <w:sz w:val="24"/>
                <w:szCs w:val="24"/>
              </w:rPr>
              <w:t>5010-5070</w:t>
            </w:r>
          </w:p>
        </w:tc>
        <w:tc>
          <w:tcPr>
            <w:tcW w:w="1701" w:type="dxa"/>
          </w:tcPr>
          <w:p w14:paraId="2D8CF7E8" w14:textId="77777777" w:rsidR="00E91428" w:rsidRDefault="00E510D6">
            <w:pPr>
              <w:jc w:val="center"/>
              <w:rPr>
                <w:rFonts w:ascii="宋体" w:hAnsi="宋体" w:cs="宋体"/>
                <w:kern w:val="0"/>
                <w:sz w:val="24"/>
                <w:szCs w:val="24"/>
              </w:rPr>
            </w:pPr>
            <w:r>
              <w:rPr>
                <w:rFonts w:ascii="宋体" w:hAnsi="宋体" w:cs="宋体"/>
                <w:kern w:val="0"/>
                <w:sz w:val="24"/>
                <w:szCs w:val="24"/>
              </w:rPr>
              <w:t>5120</w:t>
            </w:r>
          </w:p>
        </w:tc>
        <w:tc>
          <w:tcPr>
            <w:tcW w:w="1701" w:type="dxa"/>
          </w:tcPr>
          <w:p w14:paraId="140F457E" w14:textId="77777777" w:rsidR="00E91428" w:rsidRDefault="00E510D6">
            <w:pPr>
              <w:jc w:val="center"/>
              <w:rPr>
                <w:rFonts w:ascii="宋体" w:hAnsi="宋体" w:cs="宋体"/>
                <w:kern w:val="0"/>
                <w:sz w:val="24"/>
                <w:szCs w:val="24"/>
              </w:rPr>
            </w:pPr>
            <w:r>
              <w:rPr>
                <w:rFonts w:ascii="宋体" w:hAnsi="宋体" w:cs="宋体"/>
                <w:kern w:val="0"/>
                <w:sz w:val="24"/>
                <w:szCs w:val="24"/>
              </w:rPr>
              <w:t>4500</w:t>
            </w:r>
          </w:p>
        </w:tc>
        <w:tc>
          <w:tcPr>
            <w:tcW w:w="1701" w:type="dxa"/>
          </w:tcPr>
          <w:p w14:paraId="28E9ADD2" w14:textId="77777777" w:rsidR="00E91428" w:rsidRDefault="00E510D6">
            <w:pPr>
              <w:jc w:val="center"/>
              <w:rPr>
                <w:rFonts w:ascii="宋体" w:hAnsi="宋体"/>
                <w:kern w:val="0"/>
                <w:sz w:val="24"/>
              </w:rPr>
            </w:pPr>
            <w:r>
              <w:rPr>
                <w:rFonts w:ascii="宋体" w:hAnsi="宋体" w:hint="eastAsia"/>
                <w:kern w:val="0"/>
                <w:sz w:val="24"/>
              </w:rPr>
              <w:t>持有</w:t>
            </w:r>
          </w:p>
        </w:tc>
      </w:tr>
      <w:tr w:rsidR="00C94FA8" w14:paraId="15617A96" w14:textId="77777777">
        <w:trPr>
          <w:trHeight w:val="400"/>
        </w:trPr>
        <w:tc>
          <w:tcPr>
            <w:tcW w:w="1526" w:type="dxa"/>
          </w:tcPr>
          <w:p w14:paraId="408D1C15" w14:textId="77777777" w:rsidR="00C94FA8" w:rsidRDefault="00C94FA8">
            <w:pPr>
              <w:widowControl/>
              <w:jc w:val="left"/>
              <w:rPr>
                <w:rFonts w:ascii="宋体" w:hAnsi="宋体" w:cs="宋体" w:hint="eastAsia"/>
                <w:kern w:val="0"/>
                <w:sz w:val="24"/>
                <w:szCs w:val="24"/>
              </w:rPr>
            </w:pPr>
            <w:r w:rsidRPr="00C94FA8">
              <w:rPr>
                <w:rFonts w:ascii="宋体" w:hAnsi="宋体" w:cs="宋体"/>
                <w:kern w:val="0"/>
                <w:sz w:val="24"/>
                <w:szCs w:val="24"/>
              </w:rPr>
              <w:t xml:space="preserve">m1905 </w:t>
            </w:r>
          </w:p>
        </w:tc>
        <w:tc>
          <w:tcPr>
            <w:tcW w:w="1417" w:type="dxa"/>
          </w:tcPr>
          <w:p w14:paraId="007B1F55" w14:textId="77777777" w:rsidR="00C94FA8" w:rsidRDefault="00C94FA8">
            <w:pPr>
              <w:tabs>
                <w:tab w:val="left" w:pos="390"/>
              </w:tabs>
              <w:ind w:firstLineChars="200" w:firstLine="480"/>
              <w:rPr>
                <w:rFonts w:ascii="宋体" w:hAnsi="宋体" w:hint="eastAsia"/>
                <w:kern w:val="0"/>
                <w:sz w:val="24"/>
              </w:rPr>
            </w:pPr>
            <w:r w:rsidRPr="00C94FA8">
              <w:rPr>
                <w:rFonts w:ascii="宋体" w:hAnsi="宋体" w:hint="eastAsia"/>
                <w:kern w:val="0"/>
                <w:sz w:val="24"/>
              </w:rPr>
              <w:t>空</w:t>
            </w:r>
          </w:p>
        </w:tc>
        <w:tc>
          <w:tcPr>
            <w:tcW w:w="1843" w:type="dxa"/>
          </w:tcPr>
          <w:p w14:paraId="0E6DC138" w14:textId="77777777" w:rsidR="00C94FA8" w:rsidRDefault="00C94FA8">
            <w:pPr>
              <w:tabs>
                <w:tab w:val="left" w:pos="390"/>
              </w:tabs>
              <w:jc w:val="center"/>
              <w:rPr>
                <w:rFonts w:ascii="宋体" w:hAnsi="宋体" w:cs="宋体"/>
                <w:kern w:val="0"/>
                <w:sz w:val="24"/>
                <w:szCs w:val="24"/>
              </w:rPr>
            </w:pPr>
            <w:r w:rsidRPr="00C94FA8">
              <w:rPr>
                <w:rFonts w:ascii="宋体" w:hAnsi="宋体" w:cs="宋体"/>
                <w:kern w:val="0"/>
                <w:sz w:val="24"/>
                <w:szCs w:val="24"/>
              </w:rPr>
              <w:t>2570-2600</w:t>
            </w:r>
          </w:p>
        </w:tc>
        <w:tc>
          <w:tcPr>
            <w:tcW w:w="1701" w:type="dxa"/>
          </w:tcPr>
          <w:p w14:paraId="239A43CF" w14:textId="77777777" w:rsidR="00C94FA8" w:rsidRDefault="00C94FA8">
            <w:pPr>
              <w:jc w:val="center"/>
              <w:rPr>
                <w:rFonts w:ascii="宋体" w:hAnsi="宋体" w:cs="宋体"/>
                <w:kern w:val="0"/>
                <w:sz w:val="24"/>
                <w:szCs w:val="24"/>
              </w:rPr>
            </w:pPr>
            <w:r w:rsidRPr="00C94FA8">
              <w:rPr>
                <w:rFonts w:ascii="宋体" w:hAnsi="宋体" w:cs="宋体"/>
                <w:kern w:val="0"/>
                <w:sz w:val="24"/>
                <w:szCs w:val="24"/>
              </w:rPr>
              <w:t>2620</w:t>
            </w:r>
          </w:p>
        </w:tc>
        <w:tc>
          <w:tcPr>
            <w:tcW w:w="1701" w:type="dxa"/>
          </w:tcPr>
          <w:p w14:paraId="70281F98" w14:textId="77777777" w:rsidR="00C94FA8" w:rsidRDefault="00C94FA8">
            <w:pPr>
              <w:jc w:val="center"/>
              <w:rPr>
                <w:rFonts w:ascii="宋体" w:hAnsi="宋体" w:cs="宋体"/>
                <w:kern w:val="0"/>
                <w:sz w:val="24"/>
                <w:szCs w:val="24"/>
              </w:rPr>
            </w:pPr>
            <w:r w:rsidRPr="00C94FA8">
              <w:rPr>
                <w:rFonts w:ascii="宋体" w:hAnsi="宋体" w:cs="宋体"/>
                <w:kern w:val="0"/>
                <w:sz w:val="24"/>
                <w:szCs w:val="24"/>
              </w:rPr>
              <w:t>2400</w:t>
            </w:r>
          </w:p>
        </w:tc>
        <w:tc>
          <w:tcPr>
            <w:tcW w:w="1701" w:type="dxa"/>
          </w:tcPr>
          <w:p w14:paraId="4E51060A" w14:textId="77777777" w:rsidR="00C94FA8" w:rsidRDefault="00C94FA8">
            <w:pPr>
              <w:jc w:val="center"/>
              <w:rPr>
                <w:rFonts w:ascii="宋体" w:hAnsi="宋体" w:hint="eastAsia"/>
                <w:kern w:val="0"/>
                <w:sz w:val="24"/>
              </w:rPr>
            </w:pPr>
            <w:r>
              <w:rPr>
                <w:rFonts w:ascii="宋体" w:hAnsi="宋体" w:hint="eastAsia"/>
                <w:kern w:val="0"/>
                <w:sz w:val="24"/>
              </w:rPr>
              <w:t>新开</w:t>
            </w:r>
          </w:p>
        </w:tc>
      </w:tr>
      <w:tr w:rsidR="00C94FA8" w14:paraId="62B672A2" w14:textId="77777777">
        <w:trPr>
          <w:trHeight w:val="400"/>
        </w:trPr>
        <w:tc>
          <w:tcPr>
            <w:tcW w:w="1526" w:type="dxa"/>
          </w:tcPr>
          <w:p w14:paraId="57A894DF" w14:textId="77777777" w:rsidR="00C94FA8" w:rsidRPr="00C94FA8" w:rsidRDefault="00C94FA8">
            <w:pPr>
              <w:widowControl/>
              <w:jc w:val="left"/>
              <w:rPr>
                <w:rFonts w:ascii="宋体" w:hAnsi="宋体" w:cs="宋体"/>
                <w:kern w:val="0"/>
                <w:sz w:val="24"/>
                <w:szCs w:val="24"/>
              </w:rPr>
            </w:pPr>
            <w:r w:rsidRPr="00C94FA8">
              <w:rPr>
                <w:rFonts w:ascii="宋体" w:hAnsi="宋体" w:cs="宋体"/>
                <w:kern w:val="0"/>
                <w:sz w:val="24"/>
                <w:szCs w:val="24"/>
              </w:rPr>
              <w:t>a1905</w:t>
            </w:r>
          </w:p>
        </w:tc>
        <w:tc>
          <w:tcPr>
            <w:tcW w:w="1417" w:type="dxa"/>
          </w:tcPr>
          <w:p w14:paraId="79641AAE" w14:textId="77777777" w:rsidR="00C94FA8" w:rsidRPr="00C94FA8" w:rsidRDefault="00C94FA8">
            <w:pPr>
              <w:tabs>
                <w:tab w:val="left" w:pos="390"/>
              </w:tabs>
              <w:ind w:firstLineChars="200" w:firstLine="480"/>
              <w:rPr>
                <w:rFonts w:ascii="宋体" w:hAnsi="宋体" w:hint="eastAsia"/>
                <w:kern w:val="0"/>
                <w:sz w:val="24"/>
              </w:rPr>
            </w:pPr>
            <w:r w:rsidRPr="00C94FA8">
              <w:rPr>
                <w:rFonts w:ascii="宋体" w:hAnsi="宋体" w:hint="eastAsia"/>
                <w:kern w:val="0"/>
                <w:sz w:val="24"/>
              </w:rPr>
              <w:t>空</w:t>
            </w:r>
          </w:p>
        </w:tc>
        <w:tc>
          <w:tcPr>
            <w:tcW w:w="1843" w:type="dxa"/>
          </w:tcPr>
          <w:p w14:paraId="10608617" w14:textId="77777777" w:rsidR="00C94FA8" w:rsidRPr="00C94FA8" w:rsidRDefault="00C94FA8">
            <w:pPr>
              <w:tabs>
                <w:tab w:val="left" w:pos="390"/>
              </w:tabs>
              <w:jc w:val="center"/>
              <w:rPr>
                <w:rFonts w:ascii="宋体" w:hAnsi="宋体" w:cs="宋体"/>
                <w:kern w:val="0"/>
                <w:sz w:val="24"/>
                <w:szCs w:val="24"/>
              </w:rPr>
            </w:pPr>
            <w:r w:rsidRPr="00C94FA8">
              <w:rPr>
                <w:rFonts w:ascii="宋体" w:hAnsi="宋体" w:cs="宋体"/>
                <w:kern w:val="0"/>
                <w:sz w:val="24"/>
                <w:szCs w:val="24"/>
              </w:rPr>
              <w:t>3430-3470</w:t>
            </w:r>
          </w:p>
        </w:tc>
        <w:tc>
          <w:tcPr>
            <w:tcW w:w="1701" w:type="dxa"/>
          </w:tcPr>
          <w:p w14:paraId="6204E404" w14:textId="77777777" w:rsidR="00C94FA8" w:rsidRPr="00C94FA8" w:rsidRDefault="00C94FA8">
            <w:pPr>
              <w:jc w:val="center"/>
              <w:rPr>
                <w:rFonts w:ascii="宋体" w:hAnsi="宋体" w:cs="宋体"/>
                <w:kern w:val="0"/>
                <w:sz w:val="24"/>
                <w:szCs w:val="24"/>
              </w:rPr>
            </w:pPr>
            <w:r w:rsidRPr="00C94FA8">
              <w:rPr>
                <w:rFonts w:ascii="宋体" w:hAnsi="宋体" w:cs="宋体"/>
                <w:kern w:val="0"/>
                <w:sz w:val="24"/>
                <w:szCs w:val="24"/>
              </w:rPr>
              <w:t>3490</w:t>
            </w:r>
          </w:p>
        </w:tc>
        <w:tc>
          <w:tcPr>
            <w:tcW w:w="1701" w:type="dxa"/>
          </w:tcPr>
          <w:p w14:paraId="70AC481D" w14:textId="77777777" w:rsidR="00C94FA8" w:rsidRPr="00C94FA8" w:rsidRDefault="00C94FA8">
            <w:pPr>
              <w:jc w:val="center"/>
              <w:rPr>
                <w:rFonts w:ascii="宋体" w:hAnsi="宋体" w:cs="宋体"/>
                <w:kern w:val="0"/>
                <w:sz w:val="24"/>
                <w:szCs w:val="24"/>
              </w:rPr>
            </w:pPr>
            <w:r w:rsidRPr="00C94FA8">
              <w:rPr>
                <w:rFonts w:ascii="宋体" w:hAnsi="宋体" w:cs="宋体"/>
                <w:kern w:val="0"/>
                <w:sz w:val="24"/>
                <w:szCs w:val="24"/>
              </w:rPr>
              <w:t>3200</w:t>
            </w:r>
          </w:p>
        </w:tc>
        <w:tc>
          <w:tcPr>
            <w:tcW w:w="1701" w:type="dxa"/>
          </w:tcPr>
          <w:p w14:paraId="1C57787F" w14:textId="77777777" w:rsidR="00C94FA8" w:rsidRDefault="00C94FA8">
            <w:pPr>
              <w:jc w:val="center"/>
              <w:rPr>
                <w:rFonts w:ascii="宋体" w:hAnsi="宋体" w:hint="eastAsia"/>
                <w:kern w:val="0"/>
                <w:sz w:val="24"/>
              </w:rPr>
            </w:pPr>
            <w:r>
              <w:rPr>
                <w:rFonts w:ascii="宋体" w:hAnsi="宋体" w:hint="eastAsia"/>
                <w:kern w:val="0"/>
                <w:sz w:val="24"/>
              </w:rPr>
              <w:t>新开</w:t>
            </w:r>
          </w:p>
        </w:tc>
      </w:tr>
      <w:tr w:rsidR="00E91428" w14:paraId="0D8C2287" w14:textId="77777777">
        <w:trPr>
          <w:trHeight w:val="400"/>
        </w:trPr>
        <w:tc>
          <w:tcPr>
            <w:tcW w:w="1526" w:type="dxa"/>
          </w:tcPr>
          <w:p w14:paraId="0C588A2B" w14:textId="77777777" w:rsidR="00E91428" w:rsidRDefault="00E510D6">
            <w:pPr>
              <w:widowControl/>
              <w:jc w:val="left"/>
              <w:rPr>
                <w:rFonts w:ascii="宋体" w:hAnsi="宋体" w:cs="宋体"/>
                <w:kern w:val="0"/>
                <w:sz w:val="24"/>
                <w:szCs w:val="24"/>
              </w:rPr>
            </w:pPr>
            <w:r>
              <w:rPr>
                <w:rFonts w:ascii="宋体" w:hAnsi="宋体" w:cs="宋体"/>
                <w:kern w:val="0"/>
                <w:sz w:val="24"/>
                <w:szCs w:val="24"/>
              </w:rPr>
              <w:t>R</w:t>
            </w:r>
            <w:r>
              <w:rPr>
                <w:rFonts w:ascii="宋体" w:hAnsi="宋体" w:cs="宋体" w:hint="eastAsia"/>
                <w:kern w:val="0"/>
                <w:sz w:val="24"/>
                <w:szCs w:val="24"/>
              </w:rPr>
              <w:t>b</w:t>
            </w:r>
            <w:r>
              <w:rPr>
                <w:rFonts w:ascii="宋体" w:hAnsi="宋体" w:cs="宋体"/>
                <w:kern w:val="0"/>
                <w:sz w:val="24"/>
                <w:szCs w:val="24"/>
              </w:rPr>
              <w:t>1905</w:t>
            </w:r>
          </w:p>
        </w:tc>
        <w:tc>
          <w:tcPr>
            <w:tcW w:w="1417" w:type="dxa"/>
          </w:tcPr>
          <w:p w14:paraId="3BB95AE1" w14:textId="77777777" w:rsidR="00E91428" w:rsidRDefault="00E510D6">
            <w:pPr>
              <w:tabs>
                <w:tab w:val="left" w:pos="390"/>
              </w:tabs>
              <w:ind w:firstLineChars="200" w:firstLine="480"/>
              <w:rPr>
                <w:rFonts w:ascii="宋体" w:hAnsi="宋体"/>
                <w:kern w:val="0"/>
                <w:sz w:val="24"/>
              </w:rPr>
            </w:pPr>
            <w:r>
              <w:rPr>
                <w:rFonts w:ascii="宋体" w:hAnsi="宋体" w:hint="eastAsia"/>
                <w:kern w:val="0"/>
                <w:sz w:val="24"/>
              </w:rPr>
              <w:t>空</w:t>
            </w:r>
          </w:p>
        </w:tc>
        <w:tc>
          <w:tcPr>
            <w:tcW w:w="1843" w:type="dxa"/>
          </w:tcPr>
          <w:p w14:paraId="50E0399C" w14:textId="77777777" w:rsidR="00E91428" w:rsidRDefault="00E510D6">
            <w:pPr>
              <w:tabs>
                <w:tab w:val="left" w:pos="390"/>
              </w:tabs>
              <w:jc w:val="center"/>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750-3900</w:t>
            </w:r>
          </w:p>
        </w:tc>
        <w:tc>
          <w:tcPr>
            <w:tcW w:w="1701" w:type="dxa"/>
          </w:tcPr>
          <w:p w14:paraId="450F07A3" w14:textId="77777777" w:rsidR="00E91428" w:rsidRDefault="00E510D6">
            <w:pPr>
              <w:jc w:val="center"/>
              <w:rPr>
                <w:rFonts w:ascii="宋体" w:hAnsi="宋体" w:cs="宋体"/>
                <w:kern w:val="0"/>
                <w:sz w:val="24"/>
                <w:szCs w:val="24"/>
              </w:rPr>
            </w:pPr>
            <w:r>
              <w:rPr>
                <w:rFonts w:ascii="宋体" w:hAnsi="宋体" w:cs="宋体"/>
                <w:kern w:val="0"/>
                <w:sz w:val="24"/>
                <w:szCs w:val="24"/>
              </w:rPr>
              <w:t>3950</w:t>
            </w:r>
          </w:p>
        </w:tc>
        <w:tc>
          <w:tcPr>
            <w:tcW w:w="1701" w:type="dxa"/>
          </w:tcPr>
          <w:p w14:paraId="6CA4DC9E" w14:textId="77777777" w:rsidR="00E91428" w:rsidRDefault="00E510D6">
            <w:pPr>
              <w:jc w:val="center"/>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450</w:t>
            </w:r>
          </w:p>
        </w:tc>
        <w:tc>
          <w:tcPr>
            <w:tcW w:w="1701" w:type="dxa"/>
          </w:tcPr>
          <w:p w14:paraId="0BB08287" w14:textId="77777777" w:rsidR="00E91428" w:rsidRDefault="00E510D6">
            <w:pPr>
              <w:jc w:val="center"/>
              <w:rPr>
                <w:rFonts w:ascii="宋体" w:hAnsi="宋体"/>
                <w:kern w:val="0"/>
                <w:sz w:val="24"/>
              </w:rPr>
            </w:pPr>
            <w:r>
              <w:rPr>
                <w:rFonts w:ascii="宋体" w:hAnsi="宋体" w:hint="eastAsia"/>
                <w:kern w:val="0"/>
                <w:sz w:val="24"/>
              </w:rPr>
              <w:t>新开</w:t>
            </w:r>
          </w:p>
        </w:tc>
      </w:tr>
    </w:tbl>
    <w:p w14:paraId="54155255" w14:textId="77777777" w:rsidR="00E91428" w:rsidRDefault="00E510D6">
      <w:pPr>
        <w:widowControl/>
        <w:numPr>
          <w:ilvl w:val="0"/>
          <w:numId w:val="1"/>
        </w:numPr>
        <w:spacing w:line="300" w:lineRule="auto"/>
        <w:jc w:val="left"/>
        <w:rPr>
          <w:sz w:val="24"/>
        </w:rPr>
      </w:pPr>
      <w:bookmarkStart w:id="0" w:name="OLE_LINK6"/>
      <w:bookmarkStart w:id="1" w:name="OLE_LINK7"/>
      <w:bookmarkStart w:id="2" w:name="OLE_LINK1"/>
      <w:r>
        <w:rPr>
          <w:rFonts w:hint="eastAsia"/>
          <w:sz w:val="24"/>
        </w:rPr>
        <w:t>市场点评</w:t>
      </w:r>
    </w:p>
    <w:tbl>
      <w:tblPr>
        <w:tblW w:w="9889" w:type="dxa"/>
        <w:jc w:val="center"/>
        <w:tblBorders>
          <w:top w:val="single" w:sz="12" w:space="0" w:color="FF0000"/>
          <w:bottom w:val="single" w:sz="12" w:space="0" w:color="FF0000"/>
          <w:insideH w:val="dashed" w:sz="4" w:space="0" w:color="FF0000"/>
          <w:insideV w:val="dashed" w:sz="4" w:space="0" w:color="FF0000"/>
        </w:tblBorders>
        <w:tblLayout w:type="fixed"/>
        <w:tblLook w:val="04A0" w:firstRow="1" w:lastRow="0" w:firstColumn="1" w:lastColumn="0" w:noHBand="0" w:noVBand="1"/>
      </w:tblPr>
      <w:tblGrid>
        <w:gridCol w:w="428"/>
        <w:gridCol w:w="928"/>
        <w:gridCol w:w="1165"/>
        <w:gridCol w:w="7368"/>
      </w:tblGrid>
      <w:tr w:rsidR="00E91428" w14:paraId="0D642F96" w14:textId="77777777" w:rsidTr="00C94FA8">
        <w:trPr>
          <w:trHeight w:val="963"/>
          <w:jc w:val="center"/>
        </w:trPr>
        <w:tc>
          <w:tcPr>
            <w:tcW w:w="428" w:type="dxa"/>
            <w:vMerge w:val="restart"/>
            <w:vAlign w:val="center"/>
          </w:tcPr>
          <w:p w14:paraId="5104770C" w14:textId="77777777" w:rsidR="00E91428" w:rsidRDefault="00E510D6">
            <w:pPr>
              <w:jc w:val="center"/>
              <w:rPr>
                <w:rFonts w:ascii="宋体" w:hAnsi="宋体"/>
                <w:b/>
                <w:sz w:val="24"/>
                <w:szCs w:val="21"/>
              </w:rPr>
            </w:pPr>
            <w:r>
              <w:rPr>
                <w:rFonts w:ascii="宋体" w:hAnsi="宋体" w:hint="eastAsia"/>
                <w:b/>
                <w:sz w:val="24"/>
                <w:szCs w:val="21"/>
              </w:rPr>
              <w:t>股指</w:t>
            </w:r>
          </w:p>
        </w:tc>
        <w:tc>
          <w:tcPr>
            <w:tcW w:w="928" w:type="dxa"/>
          </w:tcPr>
          <w:p w14:paraId="3357DDFA" w14:textId="77777777" w:rsidR="00E91428" w:rsidRDefault="00E91428">
            <w:pPr>
              <w:jc w:val="center"/>
              <w:rPr>
                <w:rFonts w:ascii="宋体" w:hAnsi="宋体"/>
              </w:rPr>
            </w:pPr>
          </w:p>
          <w:p w14:paraId="4CEB98C2" w14:textId="77777777" w:rsidR="00E91428" w:rsidRDefault="00E510D6">
            <w:pPr>
              <w:jc w:val="center"/>
              <w:rPr>
                <w:rFonts w:ascii="宋体" w:hAnsi="宋体"/>
                <w:szCs w:val="21"/>
              </w:rPr>
            </w:pPr>
            <w:r>
              <w:rPr>
                <w:rFonts w:ascii="宋体" w:hAnsi="宋体" w:hint="eastAsia"/>
              </w:rPr>
              <w:t>IH</w:t>
            </w:r>
          </w:p>
        </w:tc>
        <w:tc>
          <w:tcPr>
            <w:tcW w:w="1165" w:type="dxa"/>
          </w:tcPr>
          <w:p w14:paraId="05503B9F" w14:textId="77777777" w:rsidR="00E91428" w:rsidRDefault="00E91428">
            <w:pPr>
              <w:rPr>
                <w:rFonts w:ascii="宋体" w:hAnsi="宋体"/>
              </w:rPr>
            </w:pPr>
          </w:p>
          <w:p w14:paraId="720C00E0" w14:textId="77777777" w:rsidR="00E91428" w:rsidRDefault="00E510D6" w:rsidP="00C94FA8">
            <w:pPr>
              <w:ind w:firstLineChars="100" w:firstLine="210"/>
              <w:rPr>
                <w:rFonts w:ascii="宋体" w:hAnsi="宋体"/>
                <w:szCs w:val="21"/>
              </w:rPr>
            </w:pPr>
            <w:r>
              <w:rPr>
                <w:rFonts w:ascii="宋体" w:hAnsi="宋体" w:hint="eastAsia"/>
              </w:rPr>
              <w:t>震荡</w:t>
            </w:r>
          </w:p>
        </w:tc>
        <w:tc>
          <w:tcPr>
            <w:tcW w:w="7368" w:type="dxa"/>
            <w:vMerge w:val="restart"/>
            <w:shd w:val="clear" w:color="auto" w:fill="auto"/>
          </w:tcPr>
          <w:p w14:paraId="518A8178" w14:textId="77777777" w:rsidR="00C94FA8" w:rsidRPr="00C94FA8" w:rsidRDefault="00C94FA8" w:rsidP="00C94FA8">
            <w:pPr>
              <w:widowControl/>
              <w:jc w:val="left"/>
              <w:rPr>
                <w:rFonts w:ascii="宋体" w:hAnsi="宋体" w:cs="宋体"/>
                <w:kern w:val="0"/>
                <w:sz w:val="24"/>
                <w:szCs w:val="24"/>
              </w:rPr>
            </w:pPr>
            <w:r w:rsidRPr="00C94FA8">
              <w:rPr>
                <w:rFonts w:ascii="宋体" w:hAnsi="宋体" w:cs="宋体"/>
                <w:kern w:val="0"/>
                <w:sz w:val="24"/>
                <w:szCs w:val="24"/>
              </w:rPr>
              <w:t>IH：从中长期看，目前上证指数PE倒数与无风险利率的比值已经进入极有投资价值的区间，长期投资价值极高，估值底确立，安全性高。静待四季度业绩披露后，恐慌情绪释放完成，整体大盘风险才能完全释放。</w:t>
            </w:r>
            <w:proofErr w:type="gramStart"/>
            <w:r w:rsidRPr="00C94FA8">
              <w:rPr>
                <w:rFonts w:ascii="宋体" w:hAnsi="宋体" w:cs="宋体"/>
                <w:kern w:val="0"/>
                <w:sz w:val="24"/>
                <w:szCs w:val="24"/>
              </w:rPr>
              <w:t>1月社融增速</w:t>
            </w:r>
            <w:proofErr w:type="gramEnd"/>
            <w:r w:rsidRPr="00C94FA8">
              <w:rPr>
                <w:rFonts w:ascii="宋体" w:hAnsi="宋体" w:cs="宋体"/>
                <w:kern w:val="0"/>
                <w:sz w:val="24"/>
                <w:szCs w:val="24"/>
              </w:rPr>
              <w:t>同比上涨50%，若2月数据依然强劲，投资端可能已在恢复，经济先导指标叠加外资指数扩容，后续在业绩释放完可再次布局蓝筹股。</w:t>
            </w:r>
          </w:p>
          <w:p w14:paraId="4995A83E" w14:textId="77777777" w:rsidR="00E91428" w:rsidRDefault="00E510D6">
            <w:pPr>
              <w:widowControl/>
              <w:jc w:val="left"/>
              <w:rPr>
                <w:rFonts w:ascii="宋体" w:hAnsi="宋体" w:cs="宋体"/>
                <w:kern w:val="0"/>
                <w:sz w:val="24"/>
                <w:szCs w:val="24"/>
              </w:rPr>
            </w:pPr>
            <w:r>
              <w:rPr>
                <w:rFonts w:ascii="宋体" w:hAnsi="宋体" w:cs="宋体"/>
                <w:kern w:val="0"/>
                <w:sz w:val="24"/>
                <w:szCs w:val="24"/>
              </w:rPr>
              <w:t>IF</w:t>
            </w:r>
            <w:r>
              <w:rPr>
                <w:rFonts w:ascii="宋体" w:hAnsi="宋体" w:cs="宋体"/>
                <w:kern w:val="0"/>
                <w:sz w:val="24"/>
                <w:szCs w:val="24"/>
              </w:rPr>
              <w:t>：与</w:t>
            </w:r>
            <w:r>
              <w:rPr>
                <w:rFonts w:ascii="宋体" w:hAnsi="宋体" w:cs="宋体"/>
                <w:kern w:val="0"/>
                <w:sz w:val="24"/>
                <w:szCs w:val="24"/>
              </w:rPr>
              <w:t>IH</w:t>
            </w:r>
            <w:r>
              <w:rPr>
                <w:rFonts w:ascii="宋体" w:hAnsi="宋体" w:cs="宋体"/>
                <w:kern w:val="0"/>
                <w:sz w:val="24"/>
                <w:szCs w:val="24"/>
              </w:rPr>
              <w:t>相同，静待恐慌低点布局。</w:t>
            </w:r>
            <w:r>
              <w:rPr>
                <w:rFonts w:ascii="宋体" w:hAnsi="宋体" w:cs="宋体"/>
                <w:kern w:val="0"/>
                <w:sz w:val="24"/>
                <w:szCs w:val="24"/>
              </w:rPr>
              <w:br/>
              <w:t>IC</w:t>
            </w:r>
            <w:r>
              <w:rPr>
                <w:rFonts w:ascii="宋体" w:hAnsi="宋体" w:cs="宋体"/>
                <w:kern w:val="0"/>
                <w:sz w:val="24"/>
                <w:szCs w:val="24"/>
              </w:rPr>
              <w:t>：</w:t>
            </w:r>
            <w:r>
              <w:rPr>
                <w:rFonts w:ascii="宋体" w:hAnsi="宋体" w:cs="宋体"/>
                <w:kern w:val="0"/>
                <w:sz w:val="24"/>
                <w:szCs w:val="24"/>
              </w:rPr>
              <w:t>1</w:t>
            </w:r>
            <w:r>
              <w:rPr>
                <w:rFonts w:ascii="宋体" w:hAnsi="宋体" w:cs="宋体"/>
                <w:kern w:val="0"/>
                <w:sz w:val="24"/>
                <w:szCs w:val="24"/>
              </w:rPr>
              <w:t>月预披露结束，</w:t>
            </w:r>
            <w:proofErr w:type="gramStart"/>
            <w:r>
              <w:rPr>
                <w:rFonts w:ascii="宋体" w:hAnsi="宋体" w:cs="宋体"/>
                <w:kern w:val="0"/>
                <w:sz w:val="24"/>
                <w:szCs w:val="24"/>
              </w:rPr>
              <w:t>科创板</w:t>
            </w:r>
            <w:proofErr w:type="gramEnd"/>
            <w:r>
              <w:rPr>
                <w:rFonts w:ascii="宋体" w:hAnsi="宋体" w:cs="宋体"/>
                <w:kern w:val="0"/>
                <w:sz w:val="24"/>
                <w:szCs w:val="24"/>
              </w:rPr>
              <w:t>与创业板纳入</w:t>
            </w:r>
            <w:r>
              <w:rPr>
                <w:rFonts w:ascii="宋体" w:hAnsi="宋体" w:cs="宋体"/>
                <w:kern w:val="0"/>
                <w:sz w:val="24"/>
                <w:szCs w:val="24"/>
              </w:rPr>
              <w:t>MSCI</w:t>
            </w:r>
            <w:r>
              <w:rPr>
                <w:rFonts w:ascii="宋体" w:hAnsi="宋体" w:cs="宋体"/>
                <w:kern w:val="0"/>
                <w:sz w:val="24"/>
                <w:szCs w:val="24"/>
              </w:rPr>
              <w:t>预期有望对小盘股形成刺激，走出趋势性行情。</w:t>
            </w:r>
            <w:r>
              <w:rPr>
                <w:rFonts w:ascii="宋体" w:hAnsi="宋体" w:cs="宋体"/>
                <w:kern w:val="0"/>
                <w:sz w:val="24"/>
                <w:szCs w:val="24"/>
              </w:rPr>
              <w:t xml:space="preserve"> </w:t>
            </w:r>
          </w:p>
        </w:tc>
      </w:tr>
      <w:tr w:rsidR="00E91428" w14:paraId="41109014" w14:textId="77777777" w:rsidTr="00C94FA8">
        <w:trPr>
          <w:trHeight w:val="785"/>
          <w:jc w:val="center"/>
        </w:trPr>
        <w:tc>
          <w:tcPr>
            <w:tcW w:w="428" w:type="dxa"/>
            <w:vMerge/>
            <w:vAlign w:val="center"/>
          </w:tcPr>
          <w:p w14:paraId="578257E5" w14:textId="77777777" w:rsidR="00E91428" w:rsidRDefault="00E91428">
            <w:pPr>
              <w:jc w:val="center"/>
              <w:rPr>
                <w:rFonts w:ascii="宋体" w:hAnsi="宋体"/>
                <w:b/>
                <w:sz w:val="24"/>
                <w:szCs w:val="21"/>
              </w:rPr>
            </w:pPr>
          </w:p>
        </w:tc>
        <w:tc>
          <w:tcPr>
            <w:tcW w:w="928" w:type="dxa"/>
            <w:vAlign w:val="center"/>
          </w:tcPr>
          <w:p w14:paraId="3E72D431" w14:textId="77777777" w:rsidR="00E91428" w:rsidRDefault="00E510D6">
            <w:pPr>
              <w:jc w:val="center"/>
              <w:rPr>
                <w:rFonts w:ascii="宋体" w:hAnsi="宋体"/>
                <w:szCs w:val="21"/>
              </w:rPr>
            </w:pPr>
            <w:r>
              <w:rPr>
                <w:rFonts w:ascii="宋体" w:hAnsi="宋体" w:hint="eastAsia"/>
              </w:rPr>
              <w:t>IF</w:t>
            </w:r>
          </w:p>
        </w:tc>
        <w:tc>
          <w:tcPr>
            <w:tcW w:w="1165" w:type="dxa"/>
            <w:vAlign w:val="center"/>
          </w:tcPr>
          <w:p w14:paraId="56433A22" w14:textId="77777777" w:rsidR="00E91428" w:rsidRDefault="00E510D6" w:rsidP="00C94FA8">
            <w:pPr>
              <w:ind w:firstLineChars="100" w:firstLine="210"/>
              <w:rPr>
                <w:rFonts w:ascii="宋体" w:hAnsi="宋体"/>
                <w:szCs w:val="21"/>
              </w:rPr>
            </w:pPr>
            <w:r>
              <w:rPr>
                <w:rFonts w:ascii="宋体" w:hAnsi="宋体" w:hint="eastAsia"/>
              </w:rPr>
              <w:t>震荡</w:t>
            </w:r>
          </w:p>
        </w:tc>
        <w:tc>
          <w:tcPr>
            <w:tcW w:w="7368" w:type="dxa"/>
            <w:vMerge/>
            <w:shd w:val="clear" w:color="auto" w:fill="auto"/>
          </w:tcPr>
          <w:p w14:paraId="6C1A1E7D" w14:textId="77777777" w:rsidR="00E91428" w:rsidRDefault="00E91428">
            <w:pPr>
              <w:widowControl/>
              <w:jc w:val="left"/>
              <w:rPr>
                <w:rFonts w:ascii="宋体" w:hAnsi="宋体" w:cs="宋体"/>
                <w:kern w:val="0"/>
                <w:szCs w:val="21"/>
              </w:rPr>
            </w:pPr>
          </w:p>
        </w:tc>
      </w:tr>
      <w:tr w:rsidR="00E91428" w14:paraId="5F4E8E9D" w14:textId="77777777" w:rsidTr="00C94FA8">
        <w:trPr>
          <w:trHeight w:val="697"/>
          <w:jc w:val="center"/>
        </w:trPr>
        <w:tc>
          <w:tcPr>
            <w:tcW w:w="428" w:type="dxa"/>
            <w:vMerge/>
            <w:vAlign w:val="center"/>
          </w:tcPr>
          <w:p w14:paraId="3374340C" w14:textId="77777777" w:rsidR="00E91428" w:rsidRDefault="00E91428">
            <w:pPr>
              <w:jc w:val="center"/>
              <w:rPr>
                <w:rFonts w:ascii="宋体" w:hAnsi="宋体"/>
                <w:b/>
                <w:sz w:val="24"/>
                <w:szCs w:val="21"/>
              </w:rPr>
            </w:pPr>
          </w:p>
        </w:tc>
        <w:tc>
          <w:tcPr>
            <w:tcW w:w="928" w:type="dxa"/>
            <w:vAlign w:val="center"/>
          </w:tcPr>
          <w:p w14:paraId="0BFD6F9A" w14:textId="77777777" w:rsidR="00E91428" w:rsidRDefault="00E510D6">
            <w:pPr>
              <w:jc w:val="center"/>
              <w:rPr>
                <w:rFonts w:ascii="宋体" w:hAnsi="宋体"/>
                <w:szCs w:val="21"/>
              </w:rPr>
            </w:pPr>
            <w:r>
              <w:rPr>
                <w:rFonts w:ascii="宋体" w:hAnsi="宋体" w:hint="eastAsia"/>
              </w:rPr>
              <w:t>IC</w:t>
            </w:r>
          </w:p>
        </w:tc>
        <w:tc>
          <w:tcPr>
            <w:tcW w:w="1165" w:type="dxa"/>
            <w:vAlign w:val="center"/>
          </w:tcPr>
          <w:p w14:paraId="14AF261D" w14:textId="77777777" w:rsidR="00E91428" w:rsidRDefault="00E510D6" w:rsidP="00C94FA8">
            <w:pPr>
              <w:ind w:firstLineChars="100" w:firstLine="210"/>
              <w:rPr>
                <w:rFonts w:ascii="宋体" w:hAnsi="宋体"/>
                <w:szCs w:val="21"/>
              </w:rPr>
            </w:pPr>
            <w:r>
              <w:rPr>
                <w:rFonts w:ascii="宋体" w:hAnsi="宋体" w:hint="eastAsia"/>
              </w:rPr>
              <w:t>偏多</w:t>
            </w:r>
          </w:p>
        </w:tc>
        <w:tc>
          <w:tcPr>
            <w:tcW w:w="7368" w:type="dxa"/>
            <w:vMerge/>
            <w:shd w:val="clear" w:color="auto" w:fill="auto"/>
          </w:tcPr>
          <w:p w14:paraId="1E55DEBC" w14:textId="77777777" w:rsidR="00E91428" w:rsidRDefault="00E91428">
            <w:pPr>
              <w:widowControl/>
              <w:jc w:val="left"/>
              <w:rPr>
                <w:rFonts w:ascii="宋体" w:hAnsi="宋体" w:cs="宋体"/>
                <w:kern w:val="0"/>
                <w:szCs w:val="21"/>
              </w:rPr>
            </w:pPr>
          </w:p>
        </w:tc>
      </w:tr>
      <w:tr w:rsidR="00E91428" w14:paraId="7DA16A96" w14:textId="77777777">
        <w:trPr>
          <w:trHeight w:val="963"/>
          <w:jc w:val="center"/>
        </w:trPr>
        <w:tc>
          <w:tcPr>
            <w:tcW w:w="428" w:type="dxa"/>
            <w:vMerge w:val="restart"/>
            <w:vAlign w:val="center"/>
          </w:tcPr>
          <w:p w14:paraId="63C1FF57" w14:textId="77777777" w:rsidR="00E91428" w:rsidRDefault="00E91428">
            <w:pPr>
              <w:jc w:val="center"/>
              <w:rPr>
                <w:rFonts w:ascii="宋体" w:hAnsi="宋体"/>
                <w:b/>
                <w:sz w:val="24"/>
                <w:szCs w:val="21"/>
              </w:rPr>
            </w:pPr>
          </w:p>
          <w:p w14:paraId="246D926F" w14:textId="77777777" w:rsidR="00E91428" w:rsidRDefault="00E510D6">
            <w:pPr>
              <w:jc w:val="center"/>
              <w:rPr>
                <w:rFonts w:ascii="宋体" w:hAnsi="宋体"/>
                <w:b/>
                <w:sz w:val="24"/>
                <w:szCs w:val="21"/>
              </w:rPr>
            </w:pPr>
            <w:r>
              <w:rPr>
                <w:rFonts w:ascii="宋体" w:hAnsi="宋体" w:hint="eastAsia"/>
                <w:b/>
                <w:sz w:val="24"/>
                <w:szCs w:val="21"/>
              </w:rPr>
              <w:t>黑</w:t>
            </w:r>
          </w:p>
          <w:p w14:paraId="1A978065" w14:textId="77777777" w:rsidR="00E91428" w:rsidRDefault="00E510D6">
            <w:pPr>
              <w:jc w:val="center"/>
              <w:rPr>
                <w:rFonts w:ascii="宋体" w:hAnsi="宋体"/>
                <w:b/>
                <w:sz w:val="24"/>
                <w:szCs w:val="21"/>
              </w:rPr>
            </w:pPr>
            <w:r>
              <w:rPr>
                <w:rFonts w:ascii="宋体" w:hAnsi="宋体" w:hint="eastAsia"/>
                <w:b/>
                <w:sz w:val="24"/>
                <w:szCs w:val="21"/>
              </w:rPr>
              <w:t>色</w:t>
            </w:r>
          </w:p>
          <w:p w14:paraId="412574E3" w14:textId="77777777" w:rsidR="00E91428" w:rsidRDefault="00E510D6">
            <w:pPr>
              <w:jc w:val="center"/>
              <w:rPr>
                <w:rFonts w:ascii="宋体" w:hAnsi="宋体"/>
                <w:b/>
                <w:sz w:val="24"/>
                <w:szCs w:val="21"/>
              </w:rPr>
            </w:pPr>
            <w:r>
              <w:rPr>
                <w:rFonts w:ascii="宋体" w:hAnsi="宋体" w:hint="eastAsia"/>
                <w:b/>
                <w:sz w:val="24"/>
                <w:szCs w:val="21"/>
              </w:rPr>
              <w:t>产</w:t>
            </w:r>
          </w:p>
          <w:p w14:paraId="55020C45" w14:textId="77777777" w:rsidR="00E91428" w:rsidRDefault="00E510D6">
            <w:pPr>
              <w:jc w:val="center"/>
              <w:rPr>
                <w:rFonts w:ascii="宋体" w:hAnsi="宋体"/>
                <w:b/>
                <w:sz w:val="24"/>
                <w:szCs w:val="21"/>
              </w:rPr>
            </w:pPr>
            <w:r>
              <w:rPr>
                <w:rFonts w:ascii="宋体" w:hAnsi="宋体" w:hint="eastAsia"/>
                <w:b/>
                <w:sz w:val="24"/>
                <w:szCs w:val="21"/>
              </w:rPr>
              <w:t>业</w:t>
            </w:r>
          </w:p>
        </w:tc>
        <w:tc>
          <w:tcPr>
            <w:tcW w:w="928" w:type="dxa"/>
          </w:tcPr>
          <w:p w14:paraId="4A9D8ACF" w14:textId="77777777" w:rsidR="00E91428" w:rsidRDefault="00E91428">
            <w:pPr>
              <w:rPr>
                <w:rFonts w:ascii="宋体" w:hAnsi="宋体"/>
                <w:szCs w:val="21"/>
              </w:rPr>
            </w:pPr>
          </w:p>
          <w:p w14:paraId="18E2F594" w14:textId="77777777" w:rsidR="00E91428" w:rsidRDefault="00E510D6">
            <w:pPr>
              <w:jc w:val="center"/>
              <w:rPr>
                <w:rFonts w:ascii="宋体" w:hAnsi="宋体"/>
                <w:szCs w:val="21"/>
              </w:rPr>
            </w:pPr>
            <w:r>
              <w:rPr>
                <w:rFonts w:ascii="宋体" w:hAnsi="宋体" w:hint="eastAsia"/>
                <w:szCs w:val="21"/>
              </w:rPr>
              <w:t>螺纹</w:t>
            </w:r>
          </w:p>
        </w:tc>
        <w:tc>
          <w:tcPr>
            <w:tcW w:w="1165" w:type="dxa"/>
          </w:tcPr>
          <w:p w14:paraId="55F3E217" w14:textId="77777777" w:rsidR="00E91428" w:rsidRDefault="00E91428">
            <w:pPr>
              <w:rPr>
                <w:rFonts w:ascii="宋体" w:hAnsi="宋体"/>
                <w:szCs w:val="21"/>
              </w:rPr>
            </w:pPr>
          </w:p>
          <w:p w14:paraId="08357675" w14:textId="77777777" w:rsidR="00E91428" w:rsidRDefault="00E510D6">
            <w:pPr>
              <w:jc w:val="center"/>
              <w:rPr>
                <w:rFonts w:ascii="宋体" w:hAnsi="宋体"/>
                <w:szCs w:val="21"/>
              </w:rPr>
            </w:pPr>
            <w:r>
              <w:rPr>
                <w:rFonts w:ascii="宋体" w:hAnsi="宋体" w:hint="eastAsia"/>
                <w:szCs w:val="21"/>
              </w:rPr>
              <w:t>反弹抛空</w:t>
            </w:r>
          </w:p>
        </w:tc>
        <w:tc>
          <w:tcPr>
            <w:tcW w:w="7368" w:type="dxa"/>
            <w:vMerge w:val="restart"/>
          </w:tcPr>
          <w:p w14:paraId="060E21C7" w14:textId="77777777" w:rsidR="00C94FA8" w:rsidRDefault="00C94FA8">
            <w:pPr>
              <w:widowControl/>
              <w:jc w:val="left"/>
              <w:rPr>
                <w:rFonts w:ascii="宋体" w:hAnsi="宋体" w:cs="宋体"/>
                <w:kern w:val="0"/>
                <w:sz w:val="24"/>
                <w:szCs w:val="24"/>
              </w:rPr>
            </w:pPr>
            <w:r w:rsidRPr="00C94FA8">
              <w:rPr>
                <w:rFonts w:ascii="宋体" w:hAnsi="宋体" w:cs="宋体" w:hint="eastAsia"/>
                <w:kern w:val="0"/>
                <w:sz w:val="24"/>
                <w:szCs w:val="24"/>
              </w:rPr>
              <w:t>螺纹: 上海三级螺纹HRB400小幅反弹至3840元/吨，钢厂吨钢毛利回升在400元左右，期价快速回落，</w:t>
            </w:r>
            <w:proofErr w:type="gramStart"/>
            <w:r w:rsidRPr="00C94FA8">
              <w:rPr>
                <w:rFonts w:ascii="宋体" w:hAnsi="宋体" w:cs="宋体" w:hint="eastAsia"/>
                <w:kern w:val="0"/>
                <w:sz w:val="24"/>
                <w:szCs w:val="24"/>
              </w:rPr>
              <w:t>基差从</w:t>
            </w:r>
            <w:proofErr w:type="gramEnd"/>
            <w:r w:rsidRPr="00C94FA8">
              <w:rPr>
                <w:rFonts w:ascii="宋体" w:hAnsi="宋体" w:cs="宋体" w:hint="eastAsia"/>
                <w:kern w:val="0"/>
                <w:sz w:val="24"/>
                <w:szCs w:val="24"/>
              </w:rPr>
              <w:t>平</w:t>
            </w:r>
            <w:proofErr w:type="gramStart"/>
            <w:r w:rsidRPr="00C94FA8">
              <w:rPr>
                <w:rFonts w:ascii="宋体" w:hAnsi="宋体" w:cs="宋体" w:hint="eastAsia"/>
                <w:kern w:val="0"/>
                <w:sz w:val="24"/>
                <w:szCs w:val="24"/>
              </w:rPr>
              <w:t>水扩大</w:t>
            </w:r>
            <w:proofErr w:type="gramEnd"/>
            <w:r w:rsidRPr="00C94FA8">
              <w:rPr>
                <w:rFonts w:ascii="宋体" w:hAnsi="宋体" w:cs="宋体" w:hint="eastAsia"/>
                <w:kern w:val="0"/>
                <w:sz w:val="24"/>
                <w:szCs w:val="24"/>
              </w:rPr>
              <w:t>至156元/吨。节后各地头等大事抓基建，在经济增速放缓的大环境下，基建很难对冲房地产市场下滑。社库、厂库大幅回升，</w:t>
            </w:r>
            <w:proofErr w:type="gramStart"/>
            <w:r w:rsidRPr="00C94FA8">
              <w:rPr>
                <w:rFonts w:ascii="宋体" w:hAnsi="宋体" w:cs="宋体" w:hint="eastAsia"/>
                <w:kern w:val="0"/>
                <w:sz w:val="24"/>
                <w:szCs w:val="24"/>
              </w:rPr>
              <w:t>累库速度</w:t>
            </w:r>
            <w:proofErr w:type="gramEnd"/>
            <w:r w:rsidRPr="00C94FA8">
              <w:rPr>
                <w:rFonts w:ascii="宋体" w:hAnsi="宋体" w:cs="宋体" w:hint="eastAsia"/>
                <w:kern w:val="0"/>
                <w:sz w:val="24"/>
                <w:szCs w:val="24"/>
              </w:rPr>
              <w:t>较快，对螺纹形成一定压力。全国建筑钢材日成交萎缩到1.72万吨，目前实际需求暂未启动，螺纹高位回调为主。</w:t>
            </w:r>
          </w:p>
          <w:p w14:paraId="67327667" w14:textId="77777777" w:rsidR="00C94FA8" w:rsidRDefault="00C94FA8">
            <w:pPr>
              <w:widowControl/>
              <w:jc w:val="left"/>
              <w:rPr>
                <w:rFonts w:ascii="宋体" w:hAnsi="宋体" w:cs="宋体"/>
                <w:kern w:val="0"/>
                <w:sz w:val="24"/>
                <w:szCs w:val="24"/>
              </w:rPr>
            </w:pPr>
            <w:r w:rsidRPr="00C94FA8">
              <w:rPr>
                <w:rFonts w:ascii="宋体" w:hAnsi="宋体" w:cs="宋体" w:hint="eastAsia"/>
                <w:kern w:val="0"/>
                <w:sz w:val="24"/>
                <w:szCs w:val="24"/>
              </w:rPr>
              <w:lastRenderedPageBreak/>
              <w:t>铁矿:目前事故进展尚未有明确结论，市场普遍</w:t>
            </w:r>
            <w:proofErr w:type="gramStart"/>
            <w:r w:rsidRPr="00C94FA8">
              <w:rPr>
                <w:rFonts w:ascii="宋体" w:hAnsi="宋体" w:cs="宋体" w:hint="eastAsia"/>
                <w:kern w:val="0"/>
                <w:sz w:val="24"/>
                <w:szCs w:val="24"/>
              </w:rPr>
              <w:t>认为年化产量</w:t>
            </w:r>
            <w:proofErr w:type="gramEnd"/>
            <w:r w:rsidRPr="00C94FA8">
              <w:rPr>
                <w:rFonts w:ascii="宋体" w:hAnsi="宋体" w:cs="宋体" w:hint="eastAsia"/>
                <w:kern w:val="0"/>
                <w:sz w:val="24"/>
                <w:szCs w:val="24"/>
              </w:rPr>
              <w:t>影响在2000万吨左右。后期应重点关注去年因成本或政策原因关停和减产的国外中小型矿山，</w:t>
            </w:r>
            <w:proofErr w:type="gramStart"/>
            <w:r w:rsidRPr="00C94FA8">
              <w:rPr>
                <w:rFonts w:ascii="宋体" w:hAnsi="宋体" w:cs="宋体" w:hint="eastAsia"/>
                <w:kern w:val="0"/>
                <w:sz w:val="24"/>
                <w:szCs w:val="24"/>
              </w:rPr>
              <w:t>如恢复</w:t>
            </w:r>
            <w:proofErr w:type="gramEnd"/>
            <w:r w:rsidRPr="00C94FA8">
              <w:rPr>
                <w:rFonts w:ascii="宋体" w:hAnsi="宋体" w:cs="宋体" w:hint="eastAsia"/>
                <w:kern w:val="0"/>
                <w:sz w:val="24"/>
                <w:szCs w:val="24"/>
              </w:rPr>
              <w:t>将释放2500-3500万吨产量。目前到港增加及疏港放缓，45个港口铁矿石库存大幅增加，高于去年春节期间增幅。沿江港口天气影响和北方港口压港天数增加，在港船舶数量重回78条。短期内基本面并不支持铁矿石继续进一步大涨，后续关注钢厂补库力度。</w:t>
            </w:r>
          </w:p>
          <w:p w14:paraId="15F54694" w14:textId="77777777" w:rsidR="00E91428" w:rsidRDefault="00C94FA8">
            <w:pPr>
              <w:widowControl/>
              <w:jc w:val="left"/>
              <w:rPr>
                <w:rFonts w:ascii="宋体" w:hAnsi="宋体" w:cs="宋体"/>
                <w:kern w:val="0"/>
                <w:sz w:val="24"/>
                <w:szCs w:val="24"/>
              </w:rPr>
            </w:pPr>
            <w:r w:rsidRPr="00C94FA8">
              <w:rPr>
                <w:rFonts w:ascii="宋体" w:hAnsi="宋体" w:cs="宋体" w:hint="eastAsia"/>
                <w:kern w:val="0"/>
                <w:sz w:val="24"/>
                <w:szCs w:val="24"/>
              </w:rPr>
              <w:t xml:space="preserve">煤焦: </w:t>
            </w:r>
            <w:proofErr w:type="gramStart"/>
            <w:r w:rsidRPr="00C94FA8">
              <w:rPr>
                <w:rFonts w:ascii="宋体" w:hAnsi="宋体" w:cs="宋体" w:hint="eastAsia"/>
                <w:kern w:val="0"/>
                <w:sz w:val="24"/>
                <w:szCs w:val="24"/>
              </w:rPr>
              <w:t>焦企利润偏</w:t>
            </w:r>
            <w:proofErr w:type="gramEnd"/>
            <w:r w:rsidRPr="00C94FA8">
              <w:rPr>
                <w:rFonts w:ascii="宋体" w:hAnsi="宋体" w:cs="宋体" w:hint="eastAsia"/>
                <w:kern w:val="0"/>
                <w:sz w:val="24"/>
                <w:szCs w:val="24"/>
              </w:rPr>
              <w:t>低等因素影响，钢厂库存处于低位，有焦炭采购需求，近日山东、河北、山西等多地</w:t>
            </w:r>
            <w:proofErr w:type="gramStart"/>
            <w:r w:rsidRPr="00C94FA8">
              <w:rPr>
                <w:rFonts w:ascii="宋体" w:hAnsi="宋体" w:cs="宋体" w:hint="eastAsia"/>
                <w:kern w:val="0"/>
                <w:sz w:val="24"/>
                <w:szCs w:val="24"/>
              </w:rPr>
              <w:t>焦企提涨</w:t>
            </w:r>
            <w:proofErr w:type="gramEnd"/>
            <w:r w:rsidRPr="00C94FA8">
              <w:rPr>
                <w:rFonts w:ascii="宋体" w:hAnsi="宋体" w:cs="宋体" w:hint="eastAsia"/>
                <w:kern w:val="0"/>
                <w:sz w:val="24"/>
                <w:szCs w:val="24"/>
              </w:rPr>
              <w:t>焦炭价格，涨幅50-100元/吨不等。目前焦炭供需处于平衡偏宽松局面，受部分大型钢厂库存低位影响，此轮涨价多有较强信心。焦煤方面，因</w:t>
            </w:r>
            <w:proofErr w:type="gramStart"/>
            <w:r w:rsidRPr="00C94FA8">
              <w:rPr>
                <w:rFonts w:ascii="宋体" w:hAnsi="宋体" w:cs="宋体" w:hint="eastAsia"/>
                <w:kern w:val="0"/>
                <w:sz w:val="24"/>
                <w:szCs w:val="24"/>
              </w:rPr>
              <w:t>进口澳煤通关</w:t>
            </w:r>
            <w:proofErr w:type="gramEnd"/>
            <w:r w:rsidRPr="00C94FA8">
              <w:rPr>
                <w:rFonts w:ascii="宋体" w:hAnsi="宋体" w:cs="宋体" w:hint="eastAsia"/>
                <w:kern w:val="0"/>
                <w:sz w:val="24"/>
                <w:szCs w:val="24"/>
              </w:rPr>
              <w:t>受阻</w:t>
            </w:r>
            <w:proofErr w:type="gramStart"/>
            <w:r w:rsidRPr="00C94FA8">
              <w:rPr>
                <w:rFonts w:ascii="宋体" w:hAnsi="宋体" w:cs="宋体" w:hint="eastAsia"/>
                <w:kern w:val="0"/>
                <w:sz w:val="24"/>
                <w:szCs w:val="24"/>
              </w:rPr>
              <w:t>以及蒙煤通关</w:t>
            </w:r>
            <w:proofErr w:type="gramEnd"/>
            <w:r w:rsidRPr="00C94FA8">
              <w:rPr>
                <w:rFonts w:ascii="宋体" w:hAnsi="宋体" w:cs="宋体" w:hint="eastAsia"/>
                <w:kern w:val="0"/>
                <w:sz w:val="24"/>
                <w:szCs w:val="24"/>
              </w:rPr>
              <w:t>偏低，另外山西地区地方矿井生产恢复缓慢，目前主焦煤供应仍相对偏紧，</w:t>
            </w:r>
            <w:proofErr w:type="gramStart"/>
            <w:r w:rsidRPr="00C94FA8">
              <w:rPr>
                <w:rFonts w:ascii="宋体" w:hAnsi="宋体" w:cs="宋体" w:hint="eastAsia"/>
                <w:kern w:val="0"/>
                <w:sz w:val="24"/>
                <w:szCs w:val="24"/>
              </w:rPr>
              <w:t>蒙煤口岸</w:t>
            </w:r>
            <w:proofErr w:type="gramEnd"/>
            <w:r w:rsidRPr="00C94FA8">
              <w:rPr>
                <w:rFonts w:ascii="宋体" w:hAnsi="宋体" w:cs="宋体" w:hint="eastAsia"/>
                <w:kern w:val="0"/>
                <w:sz w:val="24"/>
                <w:szCs w:val="24"/>
              </w:rPr>
              <w:t>报价</w:t>
            </w:r>
            <w:proofErr w:type="gramStart"/>
            <w:r w:rsidRPr="00C94FA8">
              <w:rPr>
                <w:rFonts w:ascii="宋体" w:hAnsi="宋体" w:cs="宋体" w:hint="eastAsia"/>
                <w:kern w:val="0"/>
                <w:sz w:val="24"/>
                <w:szCs w:val="24"/>
              </w:rPr>
              <w:t>小幅探涨</w:t>
            </w:r>
            <w:proofErr w:type="gramEnd"/>
            <w:r w:rsidRPr="00C94FA8">
              <w:rPr>
                <w:rFonts w:ascii="宋体" w:hAnsi="宋体" w:cs="宋体" w:hint="eastAsia"/>
                <w:kern w:val="0"/>
                <w:sz w:val="24"/>
                <w:szCs w:val="24"/>
              </w:rPr>
              <w:t>20-30元/吨。但煤焦库存水平偏高，进一步上涨动力不足。</w:t>
            </w:r>
          </w:p>
        </w:tc>
      </w:tr>
      <w:tr w:rsidR="00E91428" w14:paraId="79218E74" w14:textId="77777777">
        <w:trPr>
          <w:trHeight w:val="1182"/>
          <w:jc w:val="center"/>
        </w:trPr>
        <w:tc>
          <w:tcPr>
            <w:tcW w:w="428" w:type="dxa"/>
            <w:vMerge/>
            <w:vAlign w:val="center"/>
          </w:tcPr>
          <w:p w14:paraId="3482FFFE" w14:textId="77777777" w:rsidR="00E91428" w:rsidRDefault="00E91428">
            <w:pPr>
              <w:jc w:val="center"/>
              <w:rPr>
                <w:rFonts w:ascii="宋体" w:hAnsi="宋体"/>
                <w:b/>
                <w:sz w:val="24"/>
                <w:szCs w:val="21"/>
              </w:rPr>
            </w:pPr>
          </w:p>
        </w:tc>
        <w:tc>
          <w:tcPr>
            <w:tcW w:w="928" w:type="dxa"/>
            <w:vAlign w:val="center"/>
          </w:tcPr>
          <w:p w14:paraId="20A384B9" w14:textId="77777777" w:rsidR="00E91428" w:rsidRDefault="00E510D6">
            <w:pPr>
              <w:jc w:val="center"/>
              <w:rPr>
                <w:rFonts w:ascii="宋体" w:hAnsi="宋体"/>
                <w:szCs w:val="21"/>
              </w:rPr>
            </w:pPr>
            <w:r>
              <w:rPr>
                <w:rFonts w:ascii="宋体" w:hAnsi="宋体" w:hint="eastAsia"/>
                <w:szCs w:val="21"/>
              </w:rPr>
              <w:t>铁矿石</w:t>
            </w:r>
          </w:p>
        </w:tc>
        <w:tc>
          <w:tcPr>
            <w:tcW w:w="1165" w:type="dxa"/>
            <w:vAlign w:val="center"/>
          </w:tcPr>
          <w:p w14:paraId="3C2771B1" w14:textId="77777777" w:rsidR="00E91428" w:rsidRDefault="00E510D6">
            <w:pPr>
              <w:jc w:val="center"/>
              <w:rPr>
                <w:rFonts w:ascii="宋体" w:hAnsi="宋体"/>
                <w:kern w:val="0"/>
                <w:szCs w:val="21"/>
              </w:rPr>
            </w:pPr>
            <w:r>
              <w:rPr>
                <w:rFonts w:ascii="宋体" w:hAnsi="宋体" w:hint="eastAsia"/>
                <w:szCs w:val="21"/>
              </w:rPr>
              <w:t>偏多</w:t>
            </w:r>
          </w:p>
        </w:tc>
        <w:tc>
          <w:tcPr>
            <w:tcW w:w="7368" w:type="dxa"/>
            <w:vMerge/>
          </w:tcPr>
          <w:p w14:paraId="50416DE3" w14:textId="77777777" w:rsidR="00E91428" w:rsidRDefault="00E91428">
            <w:pPr>
              <w:rPr>
                <w:rFonts w:ascii="宋体" w:hAnsi="宋体" w:cs="宋体"/>
                <w:szCs w:val="21"/>
              </w:rPr>
            </w:pPr>
          </w:p>
        </w:tc>
      </w:tr>
      <w:tr w:rsidR="00E91428" w14:paraId="60B3C282" w14:textId="77777777">
        <w:trPr>
          <w:trHeight w:val="1403"/>
          <w:jc w:val="center"/>
        </w:trPr>
        <w:tc>
          <w:tcPr>
            <w:tcW w:w="428" w:type="dxa"/>
            <w:vMerge/>
            <w:vAlign w:val="center"/>
          </w:tcPr>
          <w:p w14:paraId="1762F50D" w14:textId="77777777" w:rsidR="00E91428" w:rsidRDefault="00E91428">
            <w:pPr>
              <w:jc w:val="center"/>
              <w:rPr>
                <w:rFonts w:ascii="宋体" w:hAnsi="宋体"/>
                <w:b/>
                <w:sz w:val="24"/>
                <w:szCs w:val="21"/>
              </w:rPr>
            </w:pPr>
          </w:p>
        </w:tc>
        <w:tc>
          <w:tcPr>
            <w:tcW w:w="928" w:type="dxa"/>
            <w:vAlign w:val="center"/>
          </w:tcPr>
          <w:p w14:paraId="4A5F9F68" w14:textId="77777777" w:rsidR="00E91428" w:rsidRDefault="00E510D6">
            <w:pPr>
              <w:ind w:firstLineChars="50" w:firstLine="105"/>
              <w:rPr>
                <w:rFonts w:ascii="宋体" w:hAnsi="宋体"/>
                <w:szCs w:val="21"/>
              </w:rPr>
            </w:pPr>
            <w:r>
              <w:rPr>
                <w:rFonts w:ascii="宋体" w:hAnsi="宋体" w:hint="eastAsia"/>
                <w:szCs w:val="21"/>
              </w:rPr>
              <w:t>焦煤</w:t>
            </w:r>
          </w:p>
        </w:tc>
        <w:tc>
          <w:tcPr>
            <w:tcW w:w="1165" w:type="dxa"/>
            <w:vAlign w:val="center"/>
          </w:tcPr>
          <w:p w14:paraId="51732EA6" w14:textId="77777777" w:rsidR="00E91428" w:rsidRDefault="00E510D6">
            <w:pPr>
              <w:jc w:val="center"/>
              <w:rPr>
                <w:rFonts w:ascii="宋体" w:hAnsi="宋体"/>
                <w:kern w:val="0"/>
                <w:szCs w:val="21"/>
              </w:rPr>
            </w:pPr>
            <w:r>
              <w:rPr>
                <w:rFonts w:ascii="宋体" w:hAnsi="宋体" w:hint="eastAsia"/>
                <w:szCs w:val="21"/>
              </w:rPr>
              <w:t>震荡偏多</w:t>
            </w:r>
          </w:p>
        </w:tc>
        <w:tc>
          <w:tcPr>
            <w:tcW w:w="7368" w:type="dxa"/>
            <w:vMerge/>
          </w:tcPr>
          <w:p w14:paraId="4AD1764A" w14:textId="77777777" w:rsidR="00E91428" w:rsidRDefault="00E91428">
            <w:pPr>
              <w:rPr>
                <w:rFonts w:ascii="宋体" w:hAnsi="宋体" w:cs="宋体"/>
                <w:szCs w:val="21"/>
              </w:rPr>
            </w:pPr>
          </w:p>
        </w:tc>
      </w:tr>
      <w:tr w:rsidR="00E91428" w14:paraId="2DD06C4F" w14:textId="77777777">
        <w:trPr>
          <w:trHeight w:val="1515"/>
          <w:jc w:val="center"/>
        </w:trPr>
        <w:tc>
          <w:tcPr>
            <w:tcW w:w="428" w:type="dxa"/>
            <w:vMerge/>
            <w:vAlign w:val="center"/>
          </w:tcPr>
          <w:p w14:paraId="6B39D5F5" w14:textId="77777777" w:rsidR="00E91428" w:rsidRDefault="00E91428">
            <w:pPr>
              <w:jc w:val="center"/>
              <w:rPr>
                <w:rFonts w:ascii="宋体" w:hAnsi="宋体"/>
                <w:b/>
                <w:sz w:val="24"/>
                <w:szCs w:val="21"/>
              </w:rPr>
            </w:pPr>
          </w:p>
        </w:tc>
        <w:tc>
          <w:tcPr>
            <w:tcW w:w="928" w:type="dxa"/>
            <w:vAlign w:val="center"/>
          </w:tcPr>
          <w:p w14:paraId="24D204F4" w14:textId="77777777" w:rsidR="00E91428" w:rsidRDefault="00E510D6">
            <w:pPr>
              <w:jc w:val="center"/>
              <w:rPr>
                <w:rFonts w:ascii="宋体" w:hAnsi="宋体"/>
                <w:szCs w:val="21"/>
              </w:rPr>
            </w:pPr>
            <w:r>
              <w:rPr>
                <w:rFonts w:ascii="宋体" w:hAnsi="宋体" w:hint="eastAsia"/>
                <w:szCs w:val="21"/>
              </w:rPr>
              <w:t>焦炭</w:t>
            </w:r>
          </w:p>
        </w:tc>
        <w:tc>
          <w:tcPr>
            <w:tcW w:w="1165" w:type="dxa"/>
            <w:vAlign w:val="center"/>
          </w:tcPr>
          <w:p w14:paraId="2814BC50" w14:textId="77777777" w:rsidR="00E91428" w:rsidRDefault="00E510D6">
            <w:pPr>
              <w:widowControl/>
              <w:jc w:val="center"/>
              <w:rPr>
                <w:rFonts w:ascii="宋体" w:hAnsi="宋体"/>
                <w:szCs w:val="21"/>
              </w:rPr>
            </w:pPr>
            <w:r>
              <w:rPr>
                <w:rFonts w:ascii="宋体" w:hAnsi="宋体" w:hint="eastAsia"/>
                <w:szCs w:val="21"/>
              </w:rPr>
              <w:t>震荡</w:t>
            </w:r>
          </w:p>
        </w:tc>
        <w:tc>
          <w:tcPr>
            <w:tcW w:w="7368" w:type="dxa"/>
            <w:vMerge/>
          </w:tcPr>
          <w:p w14:paraId="3E892154" w14:textId="77777777" w:rsidR="00E91428" w:rsidRDefault="00E91428">
            <w:pPr>
              <w:rPr>
                <w:rFonts w:ascii="宋体" w:hAnsi="宋体" w:cs="宋体"/>
                <w:szCs w:val="21"/>
              </w:rPr>
            </w:pPr>
          </w:p>
        </w:tc>
      </w:tr>
      <w:tr w:rsidR="00E91428" w14:paraId="50E25D8F" w14:textId="77777777">
        <w:trPr>
          <w:trHeight w:val="740"/>
          <w:jc w:val="center"/>
        </w:trPr>
        <w:tc>
          <w:tcPr>
            <w:tcW w:w="428" w:type="dxa"/>
            <w:vMerge/>
            <w:vAlign w:val="center"/>
          </w:tcPr>
          <w:p w14:paraId="2FD7CF8B" w14:textId="77777777" w:rsidR="00E91428" w:rsidRDefault="00E91428">
            <w:pPr>
              <w:jc w:val="center"/>
              <w:rPr>
                <w:rFonts w:ascii="宋体" w:hAnsi="宋体"/>
                <w:b/>
                <w:sz w:val="24"/>
                <w:szCs w:val="21"/>
              </w:rPr>
            </w:pPr>
          </w:p>
        </w:tc>
        <w:tc>
          <w:tcPr>
            <w:tcW w:w="928" w:type="dxa"/>
            <w:vAlign w:val="center"/>
          </w:tcPr>
          <w:p w14:paraId="0541CDDC" w14:textId="77777777" w:rsidR="00E91428" w:rsidRDefault="00E510D6">
            <w:pPr>
              <w:jc w:val="center"/>
              <w:rPr>
                <w:rFonts w:ascii="宋体" w:hAnsi="宋体"/>
                <w:szCs w:val="21"/>
              </w:rPr>
            </w:pPr>
            <w:r>
              <w:rPr>
                <w:rFonts w:ascii="宋体" w:hAnsi="宋体" w:hint="eastAsia"/>
                <w:szCs w:val="21"/>
              </w:rPr>
              <w:t>动力煤</w:t>
            </w:r>
          </w:p>
        </w:tc>
        <w:tc>
          <w:tcPr>
            <w:tcW w:w="1165" w:type="dxa"/>
            <w:vAlign w:val="center"/>
          </w:tcPr>
          <w:p w14:paraId="4883138A" w14:textId="77777777" w:rsidR="00E91428" w:rsidRDefault="00E510D6">
            <w:pPr>
              <w:ind w:firstLineChars="50" w:firstLine="105"/>
              <w:jc w:val="center"/>
              <w:rPr>
                <w:rFonts w:ascii="宋体" w:hAnsi="宋体"/>
                <w:kern w:val="0"/>
                <w:szCs w:val="21"/>
              </w:rPr>
            </w:pPr>
            <w:r>
              <w:rPr>
                <w:rFonts w:ascii="宋体" w:hAnsi="宋体" w:hint="eastAsia"/>
                <w:szCs w:val="21"/>
              </w:rPr>
              <w:t>偏多</w:t>
            </w:r>
          </w:p>
        </w:tc>
        <w:tc>
          <w:tcPr>
            <w:tcW w:w="7368" w:type="dxa"/>
            <w:vMerge/>
          </w:tcPr>
          <w:p w14:paraId="67916BD3" w14:textId="77777777" w:rsidR="00E91428" w:rsidRDefault="00E91428">
            <w:pPr>
              <w:rPr>
                <w:rFonts w:ascii="宋体" w:hAnsi="宋体" w:cs="宋体"/>
                <w:szCs w:val="21"/>
              </w:rPr>
            </w:pPr>
          </w:p>
        </w:tc>
      </w:tr>
      <w:tr w:rsidR="00E91428" w14:paraId="2868D04B" w14:textId="77777777">
        <w:trPr>
          <w:trHeight w:val="781"/>
          <w:jc w:val="center"/>
        </w:trPr>
        <w:tc>
          <w:tcPr>
            <w:tcW w:w="428" w:type="dxa"/>
            <w:vMerge w:val="restart"/>
            <w:vAlign w:val="center"/>
          </w:tcPr>
          <w:p w14:paraId="172C23F9" w14:textId="77777777" w:rsidR="00E91428" w:rsidRDefault="00E510D6">
            <w:pPr>
              <w:jc w:val="center"/>
              <w:rPr>
                <w:rFonts w:ascii="宋体" w:hAnsi="宋体"/>
                <w:b/>
                <w:sz w:val="24"/>
                <w:szCs w:val="21"/>
              </w:rPr>
            </w:pPr>
            <w:r>
              <w:rPr>
                <w:rFonts w:ascii="宋体" w:hAnsi="宋体" w:hint="eastAsia"/>
                <w:b/>
                <w:sz w:val="24"/>
                <w:szCs w:val="21"/>
              </w:rPr>
              <w:t>有</w:t>
            </w:r>
          </w:p>
          <w:p w14:paraId="136CC5F3" w14:textId="77777777" w:rsidR="00E91428" w:rsidRDefault="00E510D6">
            <w:pPr>
              <w:jc w:val="center"/>
              <w:rPr>
                <w:rFonts w:ascii="宋体" w:hAnsi="宋体"/>
                <w:b/>
                <w:sz w:val="24"/>
                <w:szCs w:val="21"/>
              </w:rPr>
            </w:pPr>
            <w:r>
              <w:rPr>
                <w:rFonts w:ascii="宋体" w:hAnsi="宋体" w:hint="eastAsia"/>
                <w:b/>
                <w:sz w:val="24"/>
                <w:szCs w:val="21"/>
              </w:rPr>
              <w:t>色</w:t>
            </w:r>
          </w:p>
        </w:tc>
        <w:tc>
          <w:tcPr>
            <w:tcW w:w="928" w:type="dxa"/>
            <w:vAlign w:val="center"/>
          </w:tcPr>
          <w:p w14:paraId="4EF2C17C" w14:textId="77777777" w:rsidR="00E91428" w:rsidRDefault="00E510D6">
            <w:pPr>
              <w:jc w:val="center"/>
              <w:rPr>
                <w:rFonts w:ascii="宋体" w:hAnsi="宋体"/>
                <w:szCs w:val="21"/>
              </w:rPr>
            </w:pPr>
            <w:r>
              <w:rPr>
                <w:rFonts w:ascii="宋体" w:hAnsi="宋体" w:hint="eastAsia"/>
                <w:szCs w:val="21"/>
              </w:rPr>
              <w:t>铜</w:t>
            </w:r>
          </w:p>
        </w:tc>
        <w:tc>
          <w:tcPr>
            <w:tcW w:w="1165" w:type="dxa"/>
            <w:vAlign w:val="center"/>
          </w:tcPr>
          <w:p w14:paraId="51F59374" w14:textId="77777777" w:rsidR="00E91428" w:rsidRDefault="00E510D6">
            <w:pPr>
              <w:jc w:val="center"/>
              <w:rPr>
                <w:rFonts w:ascii="宋体" w:hAnsi="宋体"/>
                <w:kern w:val="0"/>
                <w:szCs w:val="21"/>
              </w:rPr>
            </w:pPr>
            <w:r>
              <w:rPr>
                <w:rFonts w:ascii="宋体" w:hAnsi="宋体"/>
                <w:szCs w:val="21"/>
              </w:rPr>
              <w:t>震荡</w:t>
            </w:r>
          </w:p>
        </w:tc>
        <w:tc>
          <w:tcPr>
            <w:tcW w:w="7368" w:type="dxa"/>
            <w:vMerge w:val="restart"/>
          </w:tcPr>
          <w:p w14:paraId="5526A813" w14:textId="77777777" w:rsidR="00C94FA8" w:rsidRPr="0052161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铜:沪铜主力合约小幅上涨，国内多地现货铜价上涨，长江现货1#铜价报48010元/吨，较前一交易日上涨30 元。季节性需求淡季，整体成交清淡，市场持观望态度。目前由于缺乏关键性因素，在下游需求偏弱的情况 下，供给</w:t>
            </w:r>
            <w:proofErr w:type="gramStart"/>
            <w:r w:rsidRPr="00521618">
              <w:rPr>
                <w:rFonts w:ascii="宋体" w:hAnsi="宋体" w:cs="宋体" w:hint="eastAsia"/>
                <w:kern w:val="0"/>
                <w:sz w:val="24"/>
                <w:szCs w:val="24"/>
              </w:rPr>
              <w:t>端主动</w:t>
            </w:r>
            <w:proofErr w:type="gramEnd"/>
            <w:r w:rsidRPr="00521618">
              <w:rPr>
                <w:rFonts w:ascii="宋体" w:hAnsi="宋体" w:cs="宋体" w:hint="eastAsia"/>
                <w:kern w:val="0"/>
                <w:sz w:val="24"/>
                <w:szCs w:val="24"/>
              </w:rPr>
              <w:t xml:space="preserve">收缩，预计沪铜仍将维持震荡。 </w:t>
            </w:r>
          </w:p>
          <w:p w14:paraId="470AC010" w14:textId="77777777" w:rsidR="00C94FA8" w:rsidRPr="0052161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铝:</w:t>
            </w:r>
            <w:proofErr w:type="gramStart"/>
            <w:r w:rsidRPr="00521618">
              <w:rPr>
                <w:rFonts w:ascii="宋体" w:hAnsi="宋体" w:cs="宋体" w:hint="eastAsia"/>
                <w:kern w:val="0"/>
                <w:sz w:val="24"/>
                <w:szCs w:val="24"/>
              </w:rPr>
              <w:t>沪铝主力</w:t>
            </w:r>
            <w:proofErr w:type="gramEnd"/>
            <w:r w:rsidRPr="00521618">
              <w:rPr>
                <w:rFonts w:ascii="宋体" w:hAnsi="宋体" w:cs="宋体" w:hint="eastAsia"/>
                <w:kern w:val="0"/>
                <w:sz w:val="24"/>
                <w:szCs w:val="24"/>
              </w:rPr>
              <w:t>小幅上涨，国内多地现货铝价上涨。广东</w:t>
            </w:r>
            <w:proofErr w:type="gramStart"/>
            <w:r w:rsidRPr="00521618">
              <w:rPr>
                <w:rFonts w:ascii="宋体" w:hAnsi="宋体" w:cs="宋体" w:hint="eastAsia"/>
                <w:kern w:val="0"/>
                <w:sz w:val="24"/>
                <w:szCs w:val="24"/>
              </w:rPr>
              <w:t>南储报</w:t>
            </w:r>
            <w:proofErr w:type="gramEnd"/>
            <w:r w:rsidRPr="00521618">
              <w:rPr>
                <w:rFonts w:ascii="宋体" w:hAnsi="宋体" w:cs="宋体" w:hint="eastAsia"/>
                <w:kern w:val="0"/>
                <w:sz w:val="24"/>
                <w:szCs w:val="24"/>
              </w:rPr>
              <w:t>13300-13400元/吨，上涨20元/吨。持货商出货 积极，下游企业接货意愿好转，市场成交转好。目前，铝价仍</w:t>
            </w:r>
            <w:proofErr w:type="gramStart"/>
            <w:r w:rsidRPr="00521618">
              <w:rPr>
                <w:rFonts w:ascii="宋体" w:hAnsi="宋体" w:cs="宋体" w:hint="eastAsia"/>
                <w:kern w:val="0"/>
                <w:sz w:val="24"/>
                <w:szCs w:val="24"/>
              </w:rPr>
              <w:t>处于磨底阶段</w:t>
            </w:r>
            <w:proofErr w:type="gramEnd"/>
            <w:r w:rsidRPr="00521618">
              <w:rPr>
                <w:rFonts w:ascii="宋体" w:hAnsi="宋体" w:cs="宋体" w:hint="eastAsia"/>
                <w:kern w:val="0"/>
                <w:sz w:val="24"/>
                <w:szCs w:val="24"/>
              </w:rPr>
              <w:t>。</w:t>
            </w:r>
          </w:p>
          <w:p w14:paraId="0276F384" w14:textId="77777777" w:rsidR="00E9142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镍:</w:t>
            </w:r>
            <w:proofErr w:type="gramStart"/>
            <w:r w:rsidRPr="00521618">
              <w:rPr>
                <w:rFonts w:ascii="宋体" w:hAnsi="宋体" w:cs="宋体" w:hint="eastAsia"/>
                <w:kern w:val="0"/>
                <w:sz w:val="24"/>
                <w:szCs w:val="24"/>
              </w:rPr>
              <w:t>沪镍主力</w:t>
            </w:r>
            <w:proofErr w:type="gramEnd"/>
            <w:r w:rsidRPr="00521618">
              <w:rPr>
                <w:rFonts w:ascii="宋体" w:hAnsi="宋体" w:cs="宋体" w:hint="eastAsia"/>
                <w:kern w:val="0"/>
                <w:sz w:val="24"/>
                <w:szCs w:val="24"/>
              </w:rPr>
              <w:t>合约上涨，国内多地现货镍价上涨。今日金川公司板状金川镍出厂价报99600元/吨，与前一交 易日价格上涨300元/吨。金川俄镍价差收窄，</w:t>
            </w:r>
            <w:proofErr w:type="gramStart"/>
            <w:r w:rsidRPr="00521618">
              <w:rPr>
                <w:rFonts w:ascii="宋体" w:hAnsi="宋体" w:cs="宋体" w:hint="eastAsia"/>
                <w:kern w:val="0"/>
                <w:sz w:val="24"/>
                <w:szCs w:val="24"/>
              </w:rPr>
              <w:t>沪镍仍然</w:t>
            </w:r>
            <w:proofErr w:type="gramEnd"/>
            <w:r w:rsidRPr="00521618">
              <w:rPr>
                <w:rFonts w:ascii="宋体" w:hAnsi="宋体" w:cs="宋体" w:hint="eastAsia"/>
                <w:kern w:val="0"/>
                <w:sz w:val="24"/>
                <w:szCs w:val="24"/>
              </w:rPr>
              <w:t>处于反弹趋势，市场情绪逐渐回暖，交投氛围好转， 短期内多单可继续持有。</w:t>
            </w:r>
          </w:p>
        </w:tc>
      </w:tr>
      <w:tr w:rsidR="00E91428" w14:paraId="104F44C9" w14:textId="77777777">
        <w:trPr>
          <w:trHeight w:val="551"/>
          <w:jc w:val="center"/>
        </w:trPr>
        <w:tc>
          <w:tcPr>
            <w:tcW w:w="428" w:type="dxa"/>
            <w:vMerge/>
            <w:vAlign w:val="center"/>
          </w:tcPr>
          <w:p w14:paraId="580B8FB5" w14:textId="77777777" w:rsidR="00E91428" w:rsidRDefault="00E91428">
            <w:pPr>
              <w:jc w:val="center"/>
              <w:rPr>
                <w:rFonts w:ascii="宋体" w:hAnsi="宋体"/>
                <w:b/>
                <w:sz w:val="24"/>
                <w:szCs w:val="21"/>
              </w:rPr>
            </w:pPr>
          </w:p>
        </w:tc>
        <w:tc>
          <w:tcPr>
            <w:tcW w:w="928" w:type="dxa"/>
            <w:vAlign w:val="center"/>
          </w:tcPr>
          <w:p w14:paraId="4E950804" w14:textId="77777777" w:rsidR="00E91428" w:rsidRDefault="00E510D6">
            <w:pPr>
              <w:jc w:val="center"/>
              <w:rPr>
                <w:rFonts w:ascii="宋体" w:hAnsi="宋体"/>
                <w:szCs w:val="21"/>
              </w:rPr>
            </w:pPr>
            <w:r>
              <w:rPr>
                <w:rFonts w:ascii="宋体" w:hAnsi="宋体" w:hint="eastAsia"/>
                <w:szCs w:val="21"/>
              </w:rPr>
              <w:t>铝</w:t>
            </w:r>
          </w:p>
        </w:tc>
        <w:tc>
          <w:tcPr>
            <w:tcW w:w="1165" w:type="dxa"/>
            <w:vAlign w:val="center"/>
          </w:tcPr>
          <w:p w14:paraId="4661658F" w14:textId="77777777" w:rsidR="00E91428" w:rsidRDefault="00E510D6">
            <w:pPr>
              <w:jc w:val="center"/>
              <w:rPr>
                <w:rFonts w:ascii="宋体" w:hAnsi="宋体"/>
                <w:szCs w:val="21"/>
              </w:rPr>
            </w:pPr>
            <w:r>
              <w:rPr>
                <w:rFonts w:ascii="宋体" w:hAnsi="宋体" w:hint="eastAsia"/>
                <w:szCs w:val="21"/>
              </w:rPr>
              <w:t>反弹</w:t>
            </w:r>
          </w:p>
        </w:tc>
        <w:tc>
          <w:tcPr>
            <w:tcW w:w="7368" w:type="dxa"/>
            <w:vMerge/>
          </w:tcPr>
          <w:p w14:paraId="2181EC34" w14:textId="77777777" w:rsidR="00E91428" w:rsidRDefault="00E91428">
            <w:pPr>
              <w:rPr>
                <w:rFonts w:ascii="宋体" w:hAnsi="宋体" w:cs="宋体"/>
                <w:kern w:val="0"/>
                <w:szCs w:val="21"/>
              </w:rPr>
            </w:pPr>
          </w:p>
        </w:tc>
      </w:tr>
      <w:tr w:rsidR="00E91428" w14:paraId="7EFC5A05" w14:textId="77777777">
        <w:trPr>
          <w:trHeight w:val="706"/>
          <w:jc w:val="center"/>
        </w:trPr>
        <w:tc>
          <w:tcPr>
            <w:tcW w:w="428" w:type="dxa"/>
            <w:vMerge/>
            <w:vAlign w:val="center"/>
          </w:tcPr>
          <w:p w14:paraId="4C0E87D8" w14:textId="77777777" w:rsidR="00E91428" w:rsidRDefault="00E91428">
            <w:pPr>
              <w:jc w:val="center"/>
              <w:rPr>
                <w:rFonts w:ascii="宋体" w:hAnsi="宋体"/>
                <w:b/>
                <w:sz w:val="24"/>
                <w:szCs w:val="21"/>
              </w:rPr>
            </w:pPr>
          </w:p>
        </w:tc>
        <w:tc>
          <w:tcPr>
            <w:tcW w:w="928" w:type="dxa"/>
            <w:vAlign w:val="center"/>
          </w:tcPr>
          <w:p w14:paraId="647E457B" w14:textId="77777777" w:rsidR="00E91428" w:rsidRDefault="00E510D6">
            <w:pPr>
              <w:jc w:val="center"/>
              <w:rPr>
                <w:rFonts w:ascii="宋体" w:hAnsi="宋体"/>
                <w:szCs w:val="21"/>
              </w:rPr>
            </w:pPr>
            <w:r>
              <w:rPr>
                <w:rFonts w:ascii="宋体" w:hAnsi="宋体" w:hint="eastAsia"/>
                <w:szCs w:val="21"/>
              </w:rPr>
              <w:t>镍</w:t>
            </w:r>
          </w:p>
        </w:tc>
        <w:tc>
          <w:tcPr>
            <w:tcW w:w="1165" w:type="dxa"/>
            <w:vAlign w:val="center"/>
          </w:tcPr>
          <w:p w14:paraId="5B3C5B9F" w14:textId="77777777" w:rsidR="00E91428" w:rsidRDefault="00E510D6">
            <w:pPr>
              <w:jc w:val="center"/>
              <w:rPr>
                <w:rFonts w:ascii="宋体" w:hAnsi="宋体"/>
                <w:szCs w:val="21"/>
              </w:rPr>
            </w:pPr>
            <w:r>
              <w:rPr>
                <w:rFonts w:ascii="宋体" w:hAnsi="宋体"/>
                <w:szCs w:val="21"/>
              </w:rPr>
              <w:t>震荡</w:t>
            </w:r>
          </w:p>
        </w:tc>
        <w:tc>
          <w:tcPr>
            <w:tcW w:w="7368" w:type="dxa"/>
            <w:vMerge/>
          </w:tcPr>
          <w:p w14:paraId="3593B7BB" w14:textId="77777777" w:rsidR="00E91428" w:rsidRDefault="00E91428">
            <w:pPr>
              <w:rPr>
                <w:rFonts w:ascii="宋体" w:hAnsi="宋体" w:cs="宋体"/>
                <w:kern w:val="0"/>
                <w:szCs w:val="21"/>
              </w:rPr>
            </w:pPr>
          </w:p>
        </w:tc>
      </w:tr>
      <w:tr w:rsidR="00E91428" w14:paraId="643AC951" w14:textId="77777777">
        <w:trPr>
          <w:trHeight w:val="521"/>
          <w:jc w:val="center"/>
        </w:trPr>
        <w:tc>
          <w:tcPr>
            <w:tcW w:w="428" w:type="dxa"/>
            <w:vMerge/>
            <w:vAlign w:val="center"/>
          </w:tcPr>
          <w:p w14:paraId="321670E5" w14:textId="77777777" w:rsidR="00E91428" w:rsidRDefault="00E91428">
            <w:pPr>
              <w:jc w:val="center"/>
              <w:rPr>
                <w:rFonts w:ascii="宋体" w:hAnsi="宋体"/>
                <w:b/>
                <w:sz w:val="24"/>
                <w:szCs w:val="21"/>
              </w:rPr>
            </w:pPr>
          </w:p>
        </w:tc>
        <w:tc>
          <w:tcPr>
            <w:tcW w:w="928" w:type="dxa"/>
            <w:vAlign w:val="center"/>
          </w:tcPr>
          <w:p w14:paraId="21F5DD6E" w14:textId="77777777" w:rsidR="00E91428" w:rsidRDefault="00E510D6">
            <w:pPr>
              <w:jc w:val="center"/>
              <w:rPr>
                <w:rFonts w:ascii="宋体" w:hAnsi="宋体"/>
                <w:szCs w:val="21"/>
              </w:rPr>
            </w:pPr>
            <w:r>
              <w:rPr>
                <w:rFonts w:ascii="宋体" w:hAnsi="宋体" w:hint="eastAsia"/>
                <w:szCs w:val="21"/>
              </w:rPr>
              <w:t>锌</w:t>
            </w:r>
          </w:p>
        </w:tc>
        <w:tc>
          <w:tcPr>
            <w:tcW w:w="1165" w:type="dxa"/>
            <w:vAlign w:val="center"/>
          </w:tcPr>
          <w:p w14:paraId="703C8F70" w14:textId="77777777" w:rsidR="00E91428" w:rsidRDefault="00E510D6">
            <w:pPr>
              <w:jc w:val="center"/>
              <w:rPr>
                <w:rFonts w:ascii="宋体" w:hAnsi="宋体"/>
                <w:color w:val="000000"/>
                <w:szCs w:val="21"/>
              </w:rPr>
            </w:pPr>
            <w:r>
              <w:rPr>
                <w:rFonts w:ascii="宋体" w:hAnsi="宋体" w:hint="eastAsia"/>
                <w:szCs w:val="21"/>
              </w:rPr>
              <w:t>震荡</w:t>
            </w:r>
          </w:p>
        </w:tc>
        <w:tc>
          <w:tcPr>
            <w:tcW w:w="7368" w:type="dxa"/>
            <w:vMerge/>
          </w:tcPr>
          <w:p w14:paraId="5E57AAA8" w14:textId="77777777" w:rsidR="00E91428" w:rsidRDefault="00E91428">
            <w:pPr>
              <w:rPr>
                <w:rFonts w:ascii="宋体" w:hAnsi="宋体" w:cs="宋体"/>
                <w:kern w:val="0"/>
                <w:szCs w:val="21"/>
              </w:rPr>
            </w:pPr>
          </w:p>
        </w:tc>
      </w:tr>
      <w:tr w:rsidR="00E91428" w14:paraId="5046482C" w14:textId="77777777">
        <w:trPr>
          <w:trHeight w:val="619"/>
          <w:jc w:val="center"/>
        </w:trPr>
        <w:tc>
          <w:tcPr>
            <w:tcW w:w="428" w:type="dxa"/>
            <w:vMerge w:val="restart"/>
          </w:tcPr>
          <w:p w14:paraId="3E4A23E8" w14:textId="77777777" w:rsidR="00E91428" w:rsidRDefault="00E91428">
            <w:pPr>
              <w:rPr>
                <w:rFonts w:ascii="宋体" w:hAnsi="宋体"/>
                <w:b/>
                <w:sz w:val="24"/>
                <w:szCs w:val="21"/>
              </w:rPr>
            </w:pPr>
          </w:p>
          <w:p w14:paraId="3D50624F" w14:textId="77777777" w:rsidR="00E91428" w:rsidRDefault="00E91428">
            <w:pPr>
              <w:rPr>
                <w:rFonts w:ascii="宋体" w:hAnsi="宋体"/>
                <w:b/>
                <w:sz w:val="24"/>
                <w:szCs w:val="21"/>
              </w:rPr>
            </w:pPr>
          </w:p>
          <w:p w14:paraId="4FD8412C" w14:textId="77777777" w:rsidR="00E91428" w:rsidRDefault="00E91428">
            <w:pPr>
              <w:rPr>
                <w:rFonts w:ascii="宋体" w:hAnsi="宋体"/>
                <w:b/>
                <w:sz w:val="24"/>
                <w:szCs w:val="21"/>
              </w:rPr>
            </w:pPr>
          </w:p>
          <w:p w14:paraId="364911F9" w14:textId="77777777" w:rsidR="00E91428" w:rsidRDefault="00E91428">
            <w:pPr>
              <w:rPr>
                <w:rFonts w:ascii="宋体" w:hAnsi="宋体"/>
                <w:b/>
                <w:sz w:val="24"/>
                <w:szCs w:val="21"/>
              </w:rPr>
            </w:pPr>
          </w:p>
          <w:p w14:paraId="2C4340E5" w14:textId="77777777" w:rsidR="00E91428" w:rsidRDefault="00E91428">
            <w:pPr>
              <w:rPr>
                <w:rFonts w:ascii="宋体" w:hAnsi="宋体"/>
                <w:b/>
                <w:sz w:val="24"/>
                <w:szCs w:val="21"/>
              </w:rPr>
            </w:pPr>
          </w:p>
          <w:p w14:paraId="2B1D56F4" w14:textId="77777777" w:rsidR="00E91428" w:rsidRDefault="00E91428">
            <w:pPr>
              <w:rPr>
                <w:rFonts w:ascii="宋体" w:hAnsi="宋体"/>
                <w:b/>
                <w:sz w:val="24"/>
                <w:szCs w:val="21"/>
              </w:rPr>
            </w:pPr>
          </w:p>
          <w:p w14:paraId="1F9D863D" w14:textId="77777777" w:rsidR="00E91428" w:rsidRDefault="00E510D6">
            <w:pPr>
              <w:jc w:val="center"/>
              <w:rPr>
                <w:rFonts w:ascii="宋体" w:hAnsi="宋体"/>
                <w:b/>
                <w:sz w:val="24"/>
                <w:szCs w:val="21"/>
              </w:rPr>
            </w:pPr>
            <w:r>
              <w:rPr>
                <w:rFonts w:ascii="宋体" w:hAnsi="宋体" w:hint="eastAsia"/>
                <w:b/>
                <w:sz w:val="24"/>
                <w:szCs w:val="21"/>
              </w:rPr>
              <w:t>农</w:t>
            </w:r>
          </w:p>
          <w:p w14:paraId="7933A374" w14:textId="77777777" w:rsidR="00E91428" w:rsidRDefault="00E510D6">
            <w:pPr>
              <w:jc w:val="center"/>
              <w:rPr>
                <w:rFonts w:ascii="宋体" w:hAnsi="宋体"/>
                <w:b/>
                <w:sz w:val="24"/>
                <w:szCs w:val="21"/>
              </w:rPr>
            </w:pPr>
            <w:r>
              <w:rPr>
                <w:rFonts w:ascii="宋体" w:hAnsi="宋体" w:hint="eastAsia"/>
                <w:b/>
                <w:sz w:val="24"/>
                <w:szCs w:val="21"/>
              </w:rPr>
              <w:t>产</w:t>
            </w:r>
          </w:p>
          <w:p w14:paraId="4D129C6A" w14:textId="77777777" w:rsidR="00E91428" w:rsidRDefault="00E510D6">
            <w:pPr>
              <w:jc w:val="center"/>
              <w:rPr>
                <w:rFonts w:ascii="宋体" w:hAnsi="宋体"/>
                <w:b/>
                <w:sz w:val="24"/>
                <w:szCs w:val="21"/>
              </w:rPr>
            </w:pPr>
            <w:r>
              <w:rPr>
                <w:rFonts w:ascii="宋体" w:hAnsi="宋体" w:hint="eastAsia"/>
                <w:b/>
                <w:sz w:val="24"/>
                <w:szCs w:val="21"/>
              </w:rPr>
              <w:t>品</w:t>
            </w:r>
          </w:p>
          <w:p w14:paraId="5E077156" w14:textId="77777777" w:rsidR="00E91428" w:rsidRDefault="00E91428">
            <w:pPr>
              <w:jc w:val="center"/>
              <w:rPr>
                <w:rFonts w:ascii="宋体" w:hAnsi="宋体"/>
                <w:b/>
                <w:sz w:val="24"/>
                <w:szCs w:val="21"/>
              </w:rPr>
            </w:pPr>
          </w:p>
        </w:tc>
        <w:tc>
          <w:tcPr>
            <w:tcW w:w="928" w:type="dxa"/>
            <w:vAlign w:val="center"/>
          </w:tcPr>
          <w:p w14:paraId="5E93E07C" w14:textId="77777777" w:rsidR="00E91428" w:rsidRDefault="00E510D6">
            <w:pPr>
              <w:jc w:val="center"/>
              <w:rPr>
                <w:rFonts w:ascii="宋体" w:hAnsi="宋体"/>
                <w:szCs w:val="21"/>
              </w:rPr>
            </w:pPr>
            <w:r>
              <w:rPr>
                <w:rFonts w:ascii="宋体" w:hAnsi="宋体" w:hint="eastAsia"/>
                <w:szCs w:val="21"/>
              </w:rPr>
              <w:t>大豆</w:t>
            </w:r>
          </w:p>
        </w:tc>
        <w:tc>
          <w:tcPr>
            <w:tcW w:w="1165" w:type="dxa"/>
            <w:vAlign w:val="center"/>
          </w:tcPr>
          <w:p w14:paraId="6A17D2A1" w14:textId="77777777" w:rsidR="00E91428" w:rsidRDefault="00E510D6">
            <w:pPr>
              <w:jc w:val="center"/>
              <w:rPr>
                <w:rFonts w:ascii="宋体" w:hAnsi="宋体"/>
                <w:szCs w:val="21"/>
              </w:rPr>
            </w:pPr>
            <w:r>
              <w:rPr>
                <w:rFonts w:ascii="宋体" w:hAnsi="宋体" w:hint="eastAsia"/>
                <w:szCs w:val="21"/>
              </w:rPr>
              <w:t>震荡</w:t>
            </w:r>
            <w:r>
              <w:rPr>
                <w:rFonts w:ascii="宋体" w:hAnsi="宋体" w:hint="eastAsia"/>
                <w:color w:val="000000"/>
                <w:szCs w:val="21"/>
              </w:rPr>
              <w:t>偏弱</w:t>
            </w:r>
          </w:p>
        </w:tc>
        <w:tc>
          <w:tcPr>
            <w:tcW w:w="7368" w:type="dxa"/>
            <w:vMerge w:val="restart"/>
          </w:tcPr>
          <w:p w14:paraId="2EF865AC" w14:textId="77777777" w:rsidR="00E91428" w:rsidRDefault="00E510D6">
            <w:pPr>
              <w:widowControl/>
              <w:jc w:val="left"/>
              <w:rPr>
                <w:rFonts w:ascii="宋体" w:hAnsi="宋体" w:cs="宋体"/>
                <w:kern w:val="0"/>
                <w:sz w:val="24"/>
                <w:szCs w:val="24"/>
              </w:rPr>
            </w:pPr>
            <w:proofErr w:type="gramStart"/>
            <w:r>
              <w:rPr>
                <w:rFonts w:ascii="宋体" w:hAnsi="宋体" w:cs="宋体" w:hint="eastAsia"/>
                <w:kern w:val="0"/>
                <w:sz w:val="24"/>
                <w:szCs w:val="24"/>
              </w:rPr>
              <w:t>粕</w:t>
            </w:r>
            <w:proofErr w:type="gramEnd"/>
            <w:r>
              <w:rPr>
                <w:rFonts w:ascii="宋体" w:hAnsi="宋体" w:cs="宋体" w:hint="eastAsia"/>
                <w:kern w:val="0"/>
                <w:sz w:val="24"/>
                <w:szCs w:val="24"/>
              </w:rPr>
              <w:t>：尽管</w:t>
            </w:r>
            <w:r>
              <w:rPr>
                <w:rFonts w:ascii="宋体" w:hAnsi="宋体" w:cs="宋体" w:hint="eastAsia"/>
                <w:kern w:val="0"/>
                <w:sz w:val="24"/>
                <w:szCs w:val="24"/>
              </w:rPr>
              <w:t>2018/2019</w:t>
            </w:r>
            <w:r>
              <w:rPr>
                <w:rFonts w:ascii="宋体" w:hAnsi="宋体" w:cs="宋体" w:hint="eastAsia"/>
                <w:kern w:val="0"/>
                <w:sz w:val="24"/>
                <w:szCs w:val="24"/>
              </w:rPr>
              <w:t>年度巴西大豆产量不及此前预期，但仍处于历史第二高位，丰产基调不变，</w:t>
            </w:r>
            <w:proofErr w:type="gramStart"/>
            <w:r>
              <w:rPr>
                <w:rFonts w:ascii="宋体" w:hAnsi="宋体" w:cs="宋体" w:hint="eastAsia"/>
                <w:kern w:val="0"/>
                <w:sz w:val="24"/>
                <w:szCs w:val="24"/>
              </w:rPr>
              <w:t>美豆库存</w:t>
            </w:r>
            <w:proofErr w:type="gramEnd"/>
            <w:r>
              <w:rPr>
                <w:rFonts w:ascii="宋体" w:hAnsi="宋体" w:cs="宋体" w:hint="eastAsia"/>
                <w:kern w:val="0"/>
                <w:sz w:val="24"/>
                <w:szCs w:val="24"/>
              </w:rPr>
              <w:t>高位，全球大豆供应仍然充裕。国内非洲猪瘟疫情影响养殖户的补栏，养殖户在春节前集中出栏，节后补栏意愿较弱，导致生猪存栏大降，目前，生猪存栏处于低位，拖累豆</w:t>
            </w:r>
            <w:proofErr w:type="gramStart"/>
            <w:r>
              <w:rPr>
                <w:rFonts w:ascii="宋体" w:hAnsi="宋体" w:cs="宋体" w:hint="eastAsia"/>
                <w:kern w:val="0"/>
                <w:sz w:val="24"/>
                <w:szCs w:val="24"/>
              </w:rPr>
              <w:t>粕</w:t>
            </w:r>
            <w:proofErr w:type="gramEnd"/>
            <w:r>
              <w:rPr>
                <w:rFonts w:ascii="宋体" w:hAnsi="宋体" w:cs="宋体" w:hint="eastAsia"/>
                <w:kern w:val="0"/>
                <w:sz w:val="24"/>
                <w:szCs w:val="24"/>
              </w:rPr>
              <w:t>消费。贸易谈判还在继续，贸易</w:t>
            </w:r>
            <w:proofErr w:type="gramStart"/>
            <w:r>
              <w:rPr>
                <w:rFonts w:ascii="宋体" w:hAnsi="宋体" w:cs="宋体" w:hint="eastAsia"/>
                <w:kern w:val="0"/>
                <w:sz w:val="24"/>
                <w:szCs w:val="24"/>
              </w:rPr>
              <w:t>战能否</w:t>
            </w:r>
            <w:proofErr w:type="gramEnd"/>
            <w:r>
              <w:rPr>
                <w:rFonts w:ascii="宋体" w:hAnsi="宋体" w:cs="宋体" w:hint="eastAsia"/>
                <w:kern w:val="0"/>
                <w:sz w:val="24"/>
                <w:szCs w:val="24"/>
              </w:rPr>
              <w:t>达成协议比较关键，若中美达成贸易协议，中国取消了</w:t>
            </w:r>
            <w:proofErr w:type="gramStart"/>
            <w:r>
              <w:rPr>
                <w:rFonts w:ascii="宋体" w:hAnsi="宋体" w:cs="宋体" w:hint="eastAsia"/>
                <w:kern w:val="0"/>
                <w:sz w:val="24"/>
                <w:szCs w:val="24"/>
              </w:rPr>
              <w:t>进口美豆关税</w:t>
            </w:r>
            <w:proofErr w:type="gramEnd"/>
            <w:r>
              <w:rPr>
                <w:rFonts w:ascii="宋体" w:hAnsi="宋体" w:cs="宋体" w:hint="eastAsia"/>
                <w:kern w:val="0"/>
                <w:sz w:val="24"/>
                <w:szCs w:val="24"/>
              </w:rPr>
              <w:t>，进口大豆</w:t>
            </w:r>
            <w:proofErr w:type="gramStart"/>
            <w:r>
              <w:rPr>
                <w:rFonts w:ascii="宋体" w:hAnsi="宋体" w:cs="宋体" w:hint="eastAsia"/>
                <w:kern w:val="0"/>
                <w:sz w:val="24"/>
                <w:szCs w:val="24"/>
              </w:rPr>
              <w:t>量重新</w:t>
            </w:r>
            <w:proofErr w:type="gramEnd"/>
            <w:r>
              <w:rPr>
                <w:rFonts w:ascii="宋体" w:hAnsi="宋体" w:cs="宋体" w:hint="eastAsia"/>
                <w:kern w:val="0"/>
                <w:sz w:val="24"/>
                <w:szCs w:val="24"/>
              </w:rPr>
              <w:t>增加，再加上需求不好，豆</w:t>
            </w:r>
            <w:proofErr w:type="gramStart"/>
            <w:r>
              <w:rPr>
                <w:rFonts w:ascii="宋体" w:hAnsi="宋体" w:cs="宋体" w:hint="eastAsia"/>
                <w:kern w:val="0"/>
                <w:sz w:val="24"/>
                <w:szCs w:val="24"/>
              </w:rPr>
              <w:t>粕</w:t>
            </w:r>
            <w:proofErr w:type="gramEnd"/>
            <w:r>
              <w:rPr>
                <w:rFonts w:ascii="宋体" w:hAnsi="宋体" w:cs="宋体" w:hint="eastAsia"/>
                <w:kern w:val="0"/>
                <w:sz w:val="24"/>
                <w:szCs w:val="24"/>
              </w:rPr>
              <w:t>将震荡下跌；但若未达成，双方关系再度紧张，豆</w:t>
            </w:r>
            <w:proofErr w:type="gramStart"/>
            <w:r>
              <w:rPr>
                <w:rFonts w:ascii="宋体" w:hAnsi="宋体" w:cs="宋体" w:hint="eastAsia"/>
                <w:kern w:val="0"/>
                <w:sz w:val="24"/>
                <w:szCs w:val="24"/>
              </w:rPr>
              <w:t>粕</w:t>
            </w:r>
            <w:proofErr w:type="gramEnd"/>
            <w:r>
              <w:rPr>
                <w:rFonts w:ascii="宋体" w:hAnsi="宋体" w:cs="宋体" w:hint="eastAsia"/>
                <w:kern w:val="0"/>
                <w:sz w:val="24"/>
                <w:szCs w:val="24"/>
              </w:rPr>
              <w:t>将有望反弹。</w:t>
            </w:r>
          </w:p>
          <w:p w14:paraId="0A6142A4"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油脂：阿根廷产量上调，巴西天气改善，丰产基调不变，中美双方谈判结果再次取得一些重要进展，对国内油脂有一定的利空影响。</w:t>
            </w:r>
            <w:r>
              <w:rPr>
                <w:rFonts w:ascii="宋体" w:hAnsi="宋体" w:cs="宋体" w:hint="eastAsia"/>
                <w:kern w:val="0"/>
                <w:sz w:val="24"/>
                <w:szCs w:val="24"/>
              </w:rPr>
              <w:t>1</w:t>
            </w:r>
            <w:r>
              <w:rPr>
                <w:rFonts w:ascii="宋体" w:hAnsi="宋体" w:cs="宋体" w:hint="eastAsia"/>
                <w:kern w:val="0"/>
                <w:sz w:val="24"/>
                <w:szCs w:val="24"/>
              </w:rPr>
              <w:t>月份马棕榈油产量减产明显，且出口量也增加，但马棕油库存依旧较高。国内豆</w:t>
            </w:r>
            <w:proofErr w:type="gramStart"/>
            <w:r>
              <w:rPr>
                <w:rFonts w:ascii="宋体" w:hAnsi="宋体" w:cs="宋体" w:hint="eastAsia"/>
                <w:kern w:val="0"/>
                <w:sz w:val="24"/>
                <w:szCs w:val="24"/>
              </w:rPr>
              <w:t>粕</w:t>
            </w:r>
            <w:proofErr w:type="gramEnd"/>
            <w:r>
              <w:rPr>
                <w:rFonts w:ascii="宋体" w:hAnsi="宋体" w:cs="宋体" w:hint="eastAsia"/>
                <w:kern w:val="0"/>
                <w:sz w:val="24"/>
                <w:szCs w:val="24"/>
              </w:rPr>
              <w:t>价格因非洲猪瘟影响异常低迷，油厂及进口商</w:t>
            </w:r>
            <w:proofErr w:type="gramStart"/>
            <w:r>
              <w:rPr>
                <w:rFonts w:ascii="宋体" w:hAnsi="宋体" w:cs="宋体" w:hint="eastAsia"/>
                <w:kern w:val="0"/>
                <w:sz w:val="24"/>
                <w:szCs w:val="24"/>
              </w:rPr>
              <w:t>挺</w:t>
            </w:r>
            <w:proofErr w:type="gramEnd"/>
            <w:r>
              <w:rPr>
                <w:rFonts w:ascii="宋体" w:hAnsi="宋体" w:cs="宋体" w:hint="eastAsia"/>
                <w:kern w:val="0"/>
                <w:sz w:val="24"/>
                <w:szCs w:val="24"/>
              </w:rPr>
              <w:t>油意愿相对较强，第一季度进口大豆到港</w:t>
            </w:r>
            <w:proofErr w:type="gramStart"/>
            <w:r>
              <w:rPr>
                <w:rFonts w:ascii="宋体" w:hAnsi="宋体" w:cs="宋体" w:hint="eastAsia"/>
                <w:kern w:val="0"/>
                <w:sz w:val="24"/>
                <w:szCs w:val="24"/>
              </w:rPr>
              <w:t>同比降近</w:t>
            </w:r>
            <w:proofErr w:type="gramEnd"/>
            <w:r>
              <w:rPr>
                <w:rFonts w:ascii="宋体" w:hAnsi="宋体" w:cs="宋体" w:hint="eastAsia"/>
                <w:kern w:val="0"/>
                <w:sz w:val="24"/>
                <w:szCs w:val="24"/>
              </w:rPr>
              <w:t>20%</w:t>
            </w:r>
            <w:r>
              <w:rPr>
                <w:rFonts w:ascii="宋体" w:hAnsi="宋体" w:cs="宋体" w:hint="eastAsia"/>
                <w:kern w:val="0"/>
                <w:sz w:val="24"/>
                <w:szCs w:val="24"/>
              </w:rPr>
              <w:t>，本季度末大豆原料或趋紧，不过春节后是油脂需求淡季，油厂开机率会逐渐回升，国内油脂库存可能会重新增加，市场对贸易谈判结果比较乐观，预计油脂以震荡偏弱为主。</w:t>
            </w:r>
          </w:p>
        </w:tc>
      </w:tr>
      <w:tr w:rsidR="00E91428" w14:paraId="69A62AF2" w14:textId="77777777">
        <w:trPr>
          <w:trHeight w:val="639"/>
          <w:jc w:val="center"/>
        </w:trPr>
        <w:tc>
          <w:tcPr>
            <w:tcW w:w="428" w:type="dxa"/>
            <w:vMerge/>
          </w:tcPr>
          <w:p w14:paraId="334B9B79" w14:textId="77777777" w:rsidR="00E91428" w:rsidRDefault="00E91428">
            <w:pPr>
              <w:jc w:val="center"/>
              <w:rPr>
                <w:rFonts w:ascii="宋体" w:hAnsi="宋体"/>
                <w:b/>
                <w:sz w:val="24"/>
                <w:szCs w:val="21"/>
              </w:rPr>
            </w:pPr>
          </w:p>
        </w:tc>
        <w:tc>
          <w:tcPr>
            <w:tcW w:w="928" w:type="dxa"/>
            <w:vAlign w:val="center"/>
          </w:tcPr>
          <w:p w14:paraId="7698427A" w14:textId="77777777" w:rsidR="00E91428" w:rsidRDefault="00E510D6">
            <w:pPr>
              <w:jc w:val="center"/>
              <w:rPr>
                <w:rFonts w:ascii="宋体" w:hAnsi="宋体"/>
                <w:szCs w:val="21"/>
              </w:rPr>
            </w:pPr>
            <w:r>
              <w:rPr>
                <w:rFonts w:ascii="宋体" w:hAnsi="宋体" w:hint="eastAsia"/>
                <w:szCs w:val="21"/>
              </w:rPr>
              <w:t>豆</w:t>
            </w:r>
            <w:proofErr w:type="gramStart"/>
            <w:r>
              <w:rPr>
                <w:rFonts w:ascii="宋体" w:hAnsi="宋体" w:hint="eastAsia"/>
                <w:szCs w:val="21"/>
              </w:rPr>
              <w:t>粕</w:t>
            </w:r>
            <w:proofErr w:type="gramEnd"/>
          </w:p>
        </w:tc>
        <w:tc>
          <w:tcPr>
            <w:tcW w:w="1165" w:type="dxa"/>
            <w:vAlign w:val="center"/>
          </w:tcPr>
          <w:p w14:paraId="4A3B3423" w14:textId="77777777" w:rsidR="00E91428" w:rsidRDefault="00E510D6">
            <w:pPr>
              <w:jc w:val="center"/>
              <w:rPr>
                <w:rFonts w:ascii="宋体" w:hAnsi="宋体"/>
                <w:color w:val="000000"/>
                <w:szCs w:val="21"/>
              </w:rPr>
            </w:pPr>
            <w:r>
              <w:rPr>
                <w:rFonts w:ascii="宋体" w:hAnsi="宋体" w:hint="eastAsia"/>
                <w:color w:val="000000"/>
                <w:szCs w:val="21"/>
              </w:rPr>
              <w:t>震荡</w:t>
            </w:r>
            <w:r>
              <w:rPr>
                <w:rFonts w:ascii="宋体" w:hAnsi="宋体" w:hint="eastAsia"/>
                <w:color w:val="000000"/>
                <w:szCs w:val="21"/>
              </w:rPr>
              <w:t>偏弱</w:t>
            </w:r>
          </w:p>
        </w:tc>
        <w:tc>
          <w:tcPr>
            <w:tcW w:w="7368" w:type="dxa"/>
            <w:vMerge/>
          </w:tcPr>
          <w:p w14:paraId="5C4BF941" w14:textId="77777777" w:rsidR="00E91428" w:rsidRDefault="00E91428">
            <w:pPr>
              <w:widowControl/>
              <w:wordWrap w:val="0"/>
              <w:snapToGrid w:val="0"/>
              <w:jc w:val="left"/>
              <w:rPr>
                <w:rFonts w:ascii="宋体" w:hAnsi="宋体" w:cs="宋体"/>
                <w:kern w:val="0"/>
                <w:szCs w:val="21"/>
              </w:rPr>
            </w:pPr>
          </w:p>
        </w:tc>
      </w:tr>
      <w:tr w:rsidR="00E91428" w14:paraId="22A70B52" w14:textId="77777777">
        <w:trPr>
          <w:trHeight w:val="578"/>
          <w:jc w:val="center"/>
        </w:trPr>
        <w:tc>
          <w:tcPr>
            <w:tcW w:w="428" w:type="dxa"/>
            <w:vMerge/>
            <w:vAlign w:val="center"/>
          </w:tcPr>
          <w:p w14:paraId="26CA7B2E" w14:textId="77777777" w:rsidR="00E91428" w:rsidRDefault="00E91428">
            <w:pPr>
              <w:jc w:val="center"/>
              <w:rPr>
                <w:rFonts w:ascii="宋体" w:hAnsi="宋体"/>
                <w:b/>
                <w:sz w:val="24"/>
                <w:szCs w:val="21"/>
              </w:rPr>
            </w:pPr>
          </w:p>
        </w:tc>
        <w:tc>
          <w:tcPr>
            <w:tcW w:w="928" w:type="dxa"/>
            <w:vAlign w:val="center"/>
          </w:tcPr>
          <w:p w14:paraId="40E45174" w14:textId="77777777" w:rsidR="00E91428" w:rsidRDefault="00E510D6">
            <w:pPr>
              <w:jc w:val="center"/>
              <w:rPr>
                <w:rFonts w:ascii="宋体" w:hAnsi="宋体"/>
                <w:szCs w:val="21"/>
              </w:rPr>
            </w:pPr>
            <w:r>
              <w:rPr>
                <w:rFonts w:ascii="宋体" w:hAnsi="宋体" w:hint="eastAsia"/>
                <w:szCs w:val="21"/>
              </w:rPr>
              <w:t>豆油</w:t>
            </w:r>
          </w:p>
        </w:tc>
        <w:tc>
          <w:tcPr>
            <w:tcW w:w="1165" w:type="dxa"/>
            <w:vAlign w:val="center"/>
          </w:tcPr>
          <w:p w14:paraId="12159C65" w14:textId="77777777" w:rsidR="00E91428" w:rsidRDefault="00E510D6">
            <w:pPr>
              <w:jc w:val="center"/>
              <w:rPr>
                <w:rFonts w:ascii="宋体" w:hAnsi="宋体"/>
                <w:color w:val="000000"/>
                <w:szCs w:val="21"/>
              </w:rPr>
            </w:pPr>
            <w:r>
              <w:rPr>
                <w:rFonts w:ascii="宋体" w:hAnsi="宋体" w:hint="eastAsia"/>
                <w:color w:val="000000"/>
                <w:szCs w:val="21"/>
              </w:rPr>
              <w:t>震荡</w:t>
            </w:r>
            <w:r>
              <w:rPr>
                <w:rFonts w:ascii="宋体" w:hAnsi="宋体" w:hint="eastAsia"/>
                <w:color w:val="000000"/>
                <w:szCs w:val="21"/>
              </w:rPr>
              <w:t>偏弱</w:t>
            </w:r>
          </w:p>
        </w:tc>
        <w:tc>
          <w:tcPr>
            <w:tcW w:w="7368" w:type="dxa"/>
            <w:vMerge/>
            <w:vAlign w:val="center"/>
          </w:tcPr>
          <w:p w14:paraId="621D8C95" w14:textId="77777777" w:rsidR="00E91428" w:rsidRDefault="00E91428">
            <w:pPr>
              <w:rPr>
                <w:rFonts w:ascii="宋体" w:hAnsi="宋体" w:cs="宋体"/>
                <w:kern w:val="0"/>
                <w:szCs w:val="21"/>
              </w:rPr>
            </w:pPr>
          </w:p>
        </w:tc>
      </w:tr>
      <w:tr w:rsidR="00E91428" w14:paraId="61596DCE" w14:textId="77777777">
        <w:trPr>
          <w:trHeight w:val="925"/>
          <w:jc w:val="center"/>
        </w:trPr>
        <w:tc>
          <w:tcPr>
            <w:tcW w:w="428" w:type="dxa"/>
            <w:vMerge/>
            <w:vAlign w:val="center"/>
          </w:tcPr>
          <w:p w14:paraId="7D69FE6F" w14:textId="77777777" w:rsidR="00E91428" w:rsidRDefault="00E91428">
            <w:pPr>
              <w:jc w:val="center"/>
              <w:rPr>
                <w:rFonts w:ascii="宋体" w:hAnsi="宋体"/>
                <w:b/>
                <w:sz w:val="24"/>
                <w:szCs w:val="21"/>
              </w:rPr>
            </w:pPr>
          </w:p>
        </w:tc>
        <w:tc>
          <w:tcPr>
            <w:tcW w:w="928" w:type="dxa"/>
            <w:vAlign w:val="center"/>
          </w:tcPr>
          <w:p w14:paraId="6652EA9F" w14:textId="77777777" w:rsidR="00E91428" w:rsidRDefault="00E510D6">
            <w:pPr>
              <w:jc w:val="center"/>
              <w:rPr>
                <w:rFonts w:ascii="宋体" w:hAnsi="宋体"/>
                <w:szCs w:val="21"/>
              </w:rPr>
            </w:pPr>
            <w:r>
              <w:rPr>
                <w:rFonts w:ascii="宋体" w:hAnsi="宋体" w:hint="eastAsia"/>
                <w:szCs w:val="21"/>
              </w:rPr>
              <w:t>棕榈油</w:t>
            </w:r>
          </w:p>
        </w:tc>
        <w:tc>
          <w:tcPr>
            <w:tcW w:w="1165" w:type="dxa"/>
            <w:vAlign w:val="center"/>
          </w:tcPr>
          <w:p w14:paraId="15FFD12C" w14:textId="77777777" w:rsidR="00E91428" w:rsidRDefault="00E510D6">
            <w:pPr>
              <w:jc w:val="center"/>
              <w:rPr>
                <w:rFonts w:ascii="宋体" w:hAnsi="宋体"/>
                <w:color w:val="000000"/>
                <w:szCs w:val="21"/>
              </w:rPr>
            </w:pPr>
            <w:r>
              <w:rPr>
                <w:rFonts w:ascii="宋体" w:hAnsi="宋体" w:hint="eastAsia"/>
                <w:color w:val="000000"/>
                <w:szCs w:val="21"/>
              </w:rPr>
              <w:t>震荡</w:t>
            </w:r>
            <w:r>
              <w:rPr>
                <w:rFonts w:ascii="宋体" w:hAnsi="宋体" w:hint="eastAsia"/>
                <w:color w:val="000000"/>
                <w:szCs w:val="21"/>
              </w:rPr>
              <w:t>偏弱</w:t>
            </w:r>
          </w:p>
        </w:tc>
        <w:tc>
          <w:tcPr>
            <w:tcW w:w="7368" w:type="dxa"/>
            <w:vMerge/>
            <w:vAlign w:val="center"/>
          </w:tcPr>
          <w:p w14:paraId="12083EAF" w14:textId="77777777" w:rsidR="00E91428" w:rsidRDefault="00E91428">
            <w:pPr>
              <w:widowControl/>
              <w:rPr>
                <w:rFonts w:ascii="宋体" w:hAnsi="宋体" w:cs="宋体"/>
                <w:kern w:val="0"/>
                <w:szCs w:val="21"/>
              </w:rPr>
            </w:pPr>
          </w:p>
        </w:tc>
      </w:tr>
      <w:tr w:rsidR="00E91428" w14:paraId="6188B896" w14:textId="77777777">
        <w:trPr>
          <w:trHeight w:val="665"/>
          <w:jc w:val="center"/>
        </w:trPr>
        <w:tc>
          <w:tcPr>
            <w:tcW w:w="428" w:type="dxa"/>
            <w:vMerge/>
            <w:vAlign w:val="center"/>
          </w:tcPr>
          <w:p w14:paraId="3ED65473" w14:textId="77777777" w:rsidR="00E91428" w:rsidRDefault="00E91428">
            <w:pPr>
              <w:jc w:val="center"/>
              <w:rPr>
                <w:rFonts w:ascii="宋体" w:hAnsi="宋体"/>
                <w:b/>
                <w:sz w:val="24"/>
                <w:szCs w:val="21"/>
              </w:rPr>
            </w:pPr>
          </w:p>
        </w:tc>
        <w:tc>
          <w:tcPr>
            <w:tcW w:w="928" w:type="dxa"/>
            <w:vAlign w:val="center"/>
          </w:tcPr>
          <w:p w14:paraId="3F7286BC" w14:textId="77777777" w:rsidR="00E91428" w:rsidRDefault="00E510D6">
            <w:pPr>
              <w:jc w:val="center"/>
              <w:rPr>
                <w:rFonts w:ascii="宋体" w:hAnsi="宋体"/>
                <w:szCs w:val="21"/>
              </w:rPr>
            </w:pPr>
            <w:r>
              <w:rPr>
                <w:rFonts w:ascii="宋体" w:hAnsi="宋体" w:hint="eastAsia"/>
                <w:szCs w:val="21"/>
              </w:rPr>
              <w:t>白糖</w:t>
            </w:r>
          </w:p>
        </w:tc>
        <w:tc>
          <w:tcPr>
            <w:tcW w:w="1165" w:type="dxa"/>
            <w:vAlign w:val="center"/>
          </w:tcPr>
          <w:p w14:paraId="27A7B4AA" w14:textId="77777777" w:rsidR="00E91428" w:rsidRDefault="00E510D6">
            <w:pPr>
              <w:jc w:val="center"/>
              <w:rPr>
                <w:rFonts w:ascii="宋体" w:hAnsi="宋体"/>
                <w:szCs w:val="21"/>
              </w:rPr>
            </w:pPr>
            <w:r>
              <w:rPr>
                <w:rFonts w:ascii="宋体" w:hAnsi="宋体" w:hint="eastAsia"/>
                <w:szCs w:val="21"/>
              </w:rPr>
              <w:t>震荡偏空</w:t>
            </w:r>
          </w:p>
        </w:tc>
        <w:tc>
          <w:tcPr>
            <w:tcW w:w="7368" w:type="dxa"/>
            <w:vMerge/>
            <w:vAlign w:val="center"/>
          </w:tcPr>
          <w:p w14:paraId="67CA937B" w14:textId="77777777" w:rsidR="00E91428" w:rsidRDefault="00E91428">
            <w:pPr>
              <w:rPr>
                <w:rFonts w:ascii="宋体" w:hAnsi="宋体" w:cs="宋体"/>
                <w:kern w:val="0"/>
                <w:szCs w:val="21"/>
              </w:rPr>
            </w:pPr>
          </w:p>
        </w:tc>
      </w:tr>
      <w:tr w:rsidR="00E91428" w14:paraId="15367BBE" w14:textId="77777777">
        <w:trPr>
          <w:trHeight w:val="918"/>
          <w:jc w:val="center"/>
        </w:trPr>
        <w:tc>
          <w:tcPr>
            <w:tcW w:w="428" w:type="dxa"/>
            <w:vMerge/>
            <w:vAlign w:val="center"/>
          </w:tcPr>
          <w:p w14:paraId="551E49B4" w14:textId="77777777" w:rsidR="00E91428" w:rsidRDefault="00E91428">
            <w:pPr>
              <w:jc w:val="center"/>
              <w:rPr>
                <w:rFonts w:ascii="宋体" w:hAnsi="宋体"/>
                <w:b/>
                <w:sz w:val="24"/>
                <w:szCs w:val="21"/>
              </w:rPr>
            </w:pPr>
          </w:p>
        </w:tc>
        <w:tc>
          <w:tcPr>
            <w:tcW w:w="928" w:type="dxa"/>
            <w:vAlign w:val="center"/>
          </w:tcPr>
          <w:p w14:paraId="05FE57DC" w14:textId="77777777" w:rsidR="00E91428" w:rsidRDefault="00E510D6">
            <w:pPr>
              <w:jc w:val="center"/>
              <w:rPr>
                <w:rFonts w:ascii="宋体" w:hAnsi="宋体"/>
                <w:szCs w:val="21"/>
              </w:rPr>
            </w:pPr>
            <w:r>
              <w:rPr>
                <w:rFonts w:ascii="宋体" w:hAnsi="宋体" w:hint="eastAsia"/>
                <w:szCs w:val="21"/>
              </w:rPr>
              <w:t>棉花</w:t>
            </w:r>
          </w:p>
        </w:tc>
        <w:tc>
          <w:tcPr>
            <w:tcW w:w="1165" w:type="dxa"/>
            <w:vAlign w:val="center"/>
          </w:tcPr>
          <w:p w14:paraId="097D41C1" w14:textId="77777777" w:rsidR="00E91428" w:rsidRDefault="00E510D6">
            <w:pPr>
              <w:jc w:val="center"/>
              <w:rPr>
                <w:rFonts w:ascii="宋体" w:hAnsi="宋体"/>
                <w:szCs w:val="21"/>
              </w:rPr>
            </w:pPr>
            <w:r>
              <w:rPr>
                <w:rFonts w:ascii="宋体" w:hAnsi="宋体" w:hint="eastAsia"/>
                <w:szCs w:val="21"/>
              </w:rPr>
              <w:t>震荡</w:t>
            </w:r>
          </w:p>
        </w:tc>
        <w:tc>
          <w:tcPr>
            <w:tcW w:w="7368" w:type="dxa"/>
            <w:vMerge/>
            <w:vAlign w:val="center"/>
          </w:tcPr>
          <w:p w14:paraId="255050BF" w14:textId="77777777" w:rsidR="00E91428" w:rsidRDefault="00E91428">
            <w:pPr>
              <w:widowControl/>
              <w:wordWrap w:val="0"/>
              <w:snapToGrid w:val="0"/>
              <w:jc w:val="left"/>
              <w:rPr>
                <w:rFonts w:ascii="宋体" w:hAnsi="宋体" w:cs="宋体"/>
                <w:kern w:val="0"/>
                <w:szCs w:val="21"/>
              </w:rPr>
            </w:pPr>
          </w:p>
        </w:tc>
      </w:tr>
      <w:tr w:rsidR="00E91428" w14:paraId="25248C8B" w14:textId="77777777">
        <w:trPr>
          <w:trHeight w:val="641"/>
          <w:jc w:val="center"/>
        </w:trPr>
        <w:tc>
          <w:tcPr>
            <w:tcW w:w="428" w:type="dxa"/>
            <w:vMerge/>
            <w:vAlign w:val="center"/>
          </w:tcPr>
          <w:p w14:paraId="6635DF05" w14:textId="77777777" w:rsidR="00E91428" w:rsidRDefault="00E91428">
            <w:pPr>
              <w:jc w:val="center"/>
              <w:rPr>
                <w:rFonts w:ascii="宋体" w:hAnsi="宋体"/>
                <w:b/>
                <w:sz w:val="24"/>
                <w:szCs w:val="21"/>
              </w:rPr>
            </w:pPr>
          </w:p>
        </w:tc>
        <w:tc>
          <w:tcPr>
            <w:tcW w:w="928" w:type="dxa"/>
            <w:vAlign w:val="center"/>
          </w:tcPr>
          <w:p w14:paraId="3BB9A918" w14:textId="77777777" w:rsidR="00E91428" w:rsidRDefault="00E510D6">
            <w:pPr>
              <w:jc w:val="center"/>
              <w:rPr>
                <w:rFonts w:ascii="宋体" w:hAnsi="宋体"/>
                <w:szCs w:val="21"/>
              </w:rPr>
            </w:pPr>
            <w:r>
              <w:rPr>
                <w:rFonts w:ascii="宋体" w:hAnsi="宋体" w:hint="eastAsia"/>
                <w:szCs w:val="21"/>
              </w:rPr>
              <w:t>玉米</w:t>
            </w:r>
          </w:p>
        </w:tc>
        <w:tc>
          <w:tcPr>
            <w:tcW w:w="1165" w:type="dxa"/>
            <w:vAlign w:val="center"/>
          </w:tcPr>
          <w:p w14:paraId="5C98D53C" w14:textId="77777777" w:rsidR="00E91428" w:rsidRDefault="00E510D6">
            <w:pPr>
              <w:jc w:val="center"/>
              <w:rPr>
                <w:rFonts w:ascii="宋体" w:hAnsi="宋体"/>
                <w:szCs w:val="21"/>
              </w:rPr>
            </w:pPr>
            <w:r>
              <w:rPr>
                <w:rFonts w:ascii="宋体" w:hAnsi="宋体" w:hint="eastAsia"/>
                <w:szCs w:val="21"/>
              </w:rPr>
              <w:t>震荡偏空</w:t>
            </w:r>
          </w:p>
        </w:tc>
        <w:tc>
          <w:tcPr>
            <w:tcW w:w="7368" w:type="dxa"/>
            <w:vMerge/>
            <w:vAlign w:val="center"/>
          </w:tcPr>
          <w:p w14:paraId="6E393EA1" w14:textId="77777777" w:rsidR="00E91428" w:rsidRDefault="00E91428">
            <w:pPr>
              <w:rPr>
                <w:rFonts w:ascii="宋体" w:hAnsi="宋体" w:cs="宋体"/>
                <w:kern w:val="0"/>
                <w:szCs w:val="21"/>
              </w:rPr>
            </w:pPr>
          </w:p>
        </w:tc>
      </w:tr>
      <w:tr w:rsidR="00E91428" w14:paraId="1975C2A2" w14:textId="77777777">
        <w:trPr>
          <w:trHeight w:val="1108"/>
          <w:jc w:val="center"/>
        </w:trPr>
        <w:tc>
          <w:tcPr>
            <w:tcW w:w="428" w:type="dxa"/>
            <w:vMerge w:val="restart"/>
            <w:vAlign w:val="center"/>
          </w:tcPr>
          <w:p w14:paraId="06307343" w14:textId="77777777" w:rsidR="00E91428" w:rsidRDefault="00E91428">
            <w:pPr>
              <w:jc w:val="center"/>
              <w:rPr>
                <w:rFonts w:ascii="宋体" w:hAnsi="宋体"/>
                <w:b/>
                <w:sz w:val="24"/>
                <w:szCs w:val="21"/>
              </w:rPr>
            </w:pPr>
          </w:p>
          <w:p w14:paraId="0BC27EC0" w14:textId="77777777" w:rsidR="00E91428" w:rsidRDefault="00E91428">
            <w:pPr>
              <w:jc w:val="center"/>
              <w:rPr>
                <w:rFonts w:ascii="宋体" w:hAnsi="宋体"/>
                <w:b/>
                <w:sz w:val="24"/>
                <w:szCs w:val="21"/>
              </w:rPr>
            </w:pPr>
          </w:p>
          <w:p w14:paraId="3F854213" w14:textId="77777777" w:rsidR="00E91428" w:rsidRDefault="00E91428">
            <w:pPr>
              <w:jc w:val="center"/>
              <w:rPr>
                <w:rFonts w:ascii="宋体" w:hAnsi="宋体"/>
                <w:b/>
                <w:sz w:val="24"/>
                <w:szCs w:val="21"/>
              </w:rPr>
            </w:pPr>
          </w:p>
          <w:p w14:paraId="7644A0D3" w14:textId="77777777" w:rsidR="00E91428" w:rsidRDefault="00E91428">
            <w:pPr>
              <w:jc w:val="center"/>
              <w:rPr>
                <w:rFonts w:ascii="宋体" w:hAnsi="宋体"/>
                <w:b/>
                <w:sz w:val="24"/>
                <w:szCs w:val="21"/>
              </w:rPr>
            </w:pPr>
          </w:p>
          <w:p w14:paraId="41DABB42" w14:textId="77777777" w:rsidR="00E91428" w:rsidRDefault="00E91428">
            <w:pPr>
              <w:jc w:val="center"/>
              <w:rPr>
                <w:rFonts w:ascii="宋体" w:hAnsi="宋体"/>
                <w:b/>
                <w:sz w:val="24"/>
                <w:szCs w:val="21"/>
              </w:rPr>
            </w:pPr>
          </w:p>
          <w:p w14:paraId="7F4EAF82" w14:textId="77777777" w:rsidR="00E91428" w:rsidRDefault="00E91428">
            <w:pPr>
              <w:jc w:val="center"/>
              <w:rPr>
                <w:rFonts w:ascii="宋体" w:hAnsi="宋体"/>
                <w:b/>
                <w:sz w:val="24"/>
                <w:szCs w:val="21"/>
              </w:rPr>
            </w:pPr>
          </w:p>
          <w:p w14:paraId="08B01AF2" w14:textId="77777777" w:rsidR="00E91428" w:rsidRDefault="00E91428">
            <w:pPr>
              <w:jc w:val="center"/>
              <w:rPr>
                <w:rFonts w:ascii="宋体" w:hAnsi="宋体"/>
                <w:b/>
                <w:sz w:val="24"/>
                <w:szCs w:val="21"/>
              </w:rPr>
            </w:pPr>
          </w:p>
          <w:p w14:paraId="67066E2F" w14:textId="77777777" w:rsidR="00E91428" w:rsidRDefault="00E91428">
            <w:pPr>
              <w:jc w:val="center"/>
              <w:rPr>
                <w:rFonts w:ascii="宋体" w:hAnsi="宋体"/>
                <w:b/>
                <w:sz w:val="24"/>
                <w:szCs w:val="21"/>
              </w:rPr>
            </w:pPr>
          </w:p>
          <w:p w14:paraId="7CBDEAB8" w14:textId="77777777" w:rsidR="00E91428" w:rsidRDefault="00E91428">
            <w:pPr>
              <w:jc w:val="center"/>
              <w:rPr>
                <w:rFonts w:ascii="宋体" w:hAnsi="宋体"/>
                <w:b/>
                <w:sz w:val="24"/>
                <w:szCs w:val="21"/>
              </w:rPr>
            </w:pPr>
          </w:p>
          <w:p w14:paraId="1CE29965" w14:textId="77777777" w:rsidR="00E91428" w:rsidRDefault="00E91428">
            <w:pPr>
              <w:jc w:val="center"/>
              <w:rPr>
                <w:rFonts w:ascii="宋体" w:hAnsi="宋体"/>
                <w:b/>
                <w:sz w:val="24"/>
                <w:szCs w:val="21"/>
              </w:rPr>
            </w:pPr>
          </w:p>
          <w:p w14:paraId="3C23779B" w14:textId="77777777" w:rsidR="00E91428" w:rsidRDefault="00E91428">
            <w:pPr>
              <w:jc w:val="center"/>
              <w:rPr>
                <w:rFonts w:ascii="宋体" w:hAnsi="宋体"/>
                <w:b/>
                <w:sz w:val="24"/>
                <w:szCs w:val="21"/>
              </w:rPr>
            </w:pPr>
          </w:p>
          <w:p w14:paraId="37B04CD3" w14:textId="77777777" w:rsidR="00E91428" w:rsidRDefault="00E91428">
            <w:pPr>
              <w:jc w:val="center"/>
              <w:rPr>
                <w:rFonts w:ascii="宋体" w:hAnsi="宋体"/>
                <w:b/>
                <w:sz w:val="24"/>
                <w:szCs w:val="21"/>
              </w:rPr>
            </w:pPr>
          </w:p>
          <w:p w14:paraId="01801A7D" w14:textId="77777777" w:rsidR="00E91428" w:rsidRDefault="00E510D6">
            <w:pPr>
              <w:jc w:val="center"/>
              <w:rPr>
                <w:rFonts w:ascii="宋体" w:hAnsi="宋体"/>
                <w:b/>
                <w:sz w:val="24"/>
                <w:szCs w:val="21"/>
              </w:rPr>
            </w:pPr>
            <w:r>
              <w:rPr>
                <w:rFonts w:ascii="宋体" w:hAnsi="宋体" w:hint="eastAsia"/>
                <w:b/>
                <w:sz w:val="24"/>
                <w:szCs w:val="21"/>
              </w:rPr>
              <w:t>能源化工品</w:t>
            </w:r>
          </w:p>
        </w:tc>
        <w:tc>
          <w:tcPr>
            <w:tcW w:w="928" w:type="dxa"/>
            <w:vAlign w:val="center"/>
          </w:tcPr>
          <w:p w14:paraId="2A84ED1A" w14:textId="77777777" w:rsidR="00E91428" w:rsidRDefault="00E510D6">
            <w:pPr>
              <w:jc w:val="center"/>
              <w:rPr>
                <w:rFonts w:ascii="宋体" w:hAnsi="宋体"/>
                <w:szCs w:val="21"/>
              </w:rPr>
            </w:pPr>
            <w:r>
              <w:rPr>
                <w:rFonts w:ascii="宋体" w:hAnsi="宋体" w:hint="eastAsia"/>
                <w:szCs w:val="21"/>
              </w:rPr>
              <w:t>原油</w:t>
            </w:r>
          </w:p>
        </w:tc>
        <w:tc>
          <w:tcPr>
            <w:tcW w:w="1165" w:type="dxa"/>
            <w:vAlign w:val="center"/>
          </w:tcPr>
          <w:p w14:paraId="4888C10F" w14:textId="77777777" w:rsidR="00E91428" w:rsidRDefault="00E510D6">
            <w:pPr>
              <w:jc w:val="center"/>
              <w:rPr>
                <w:rFonts w:ascii="宋体" w:hAnsi="宋体"/>
                <w:kern w:val="0"/>
                <w:szCs w:val="21"/>
              </w:rPr>
            </w:pPr>
            <w:r>
              <w:rPr>
                <w:rFonts w:ascii="宋体" w:hAnsi="宋体" w:hint="eastAsia"/>
                <w:kern w:val="0"/>
                <w:szCs w:val="21"/>
              </w:rPr>
              <w:t>震荡</w:t>
            </w:r>
          </w:p>
        </w:tc>
        <w:tc>
          <w:tcPr>
            <w:tcW w:w="7368" w:type="dxa"/>
            <w:vMerge w:val="restart"/>
          </w:tcPr>
          <w:p w14:paraId="41632DC9" w14:textId="77777777" w:rsidR="00C94FA8" w:rsidRPr="00C94FA8" w:rsidRDefault="00C94FA8" w:rsidP="00C94FA8">
            <w:pPr>
              <w:widowControl/>
              <w:jc w:val="left"/>
              <w:rPr>
                <w:rFonts w:ascii="宋体" w:hAnsi="宋体" w:cs="宋体"/>
                <w:kern w:val="0"/>
                <w:sz w:val="24"/>
                <w:szCs w:val="24"/>
              </w:rPr>
            </w:pPr>
            <w:r w:rsidRPr="00C94FA8">
              <w:rPr>
                <w:rFonts w:ascii="宋体" w:hAnsi="宋体" w:cs="宋体"/>
                <w:kern w:val="0"/>
                <w:sz w:val="24"/>
                <w:szCs w:val="24"/>
              </w:rPr>
              <w:t>PTA：市场并无明显利空，回调空间或有限。目前PTA库存累积至100万吨左右，处于历史同期低位，库存压力不大；二月下旬下游需求回暖，PTA进入去库存阶段，3-5月份供需将偏紧，将驱动PTA价格向上。PTA1905合约震荡向上概率比较大，且5-9合约价差有望继续拉大，建议单边做多，或5-9正套。 </w:t>
            </w:r>
            <w:r w:rsidRPr="00C94FA8">
              <w:rPr>
                <w:rFonts w:ascii="宋体" w:hAnsi="宋体" w:cs="宋体"/>
                <w:kern w:val="0"/>
                <w:sz w:val="24"/>
                <w:szCs w:val="24"/>
              </w:rPr>
              <w:br/>
              <w:t>乙二醇：华东港口库存累积至110万吨，已经临近</w:t>
            </w:r>
            <w:proofErr w:type="gramStart"/>
            <w:r w:rsidRPr="00C94FA8">
              <w:rPr>
                <w:rFonts w:ascii="宋体" w:hAnsi="宋体" w:cs="宋体"/>
                <w:kern w:val="0"/>
                <w:sz w:val="24"/>
                <w:szCs w:val="24"/>
              </w:rPr>
              <w:t>近</w:t>
            </w:r>
            <w:proofErr w:type="gramEnd"/>
            <w:r w:rsidRPr="00C94FA8">
              <w:rPr>
                <w:rFonts w:ascii="宋体" w:hAnsi="宋体" w:cs="宋体"/>
                <w:kern w:val="0"/>
                <w:sz w:val="24"/>
                <w:szCs w:val="24"/>
              </w:rPr>
              <w:t>五年高点；乙二醇供应压力较大，目前开工率仍处于84%的高位；</w:t>
            </w:r>
            <w:proofErr w:type="gramStart"/>
            <w:r w:rsidRPr="00C94FA8">
              <w:rPr>
                <w:rFonts w:ascii="宋体" w:hAnsi="宋体" w:cs="宋体"/>
                <w:kern w:val="0"/>
                <w:sz w:val="24"/>
                <w:szCs w:val="24"/>
              </w:rPr>
              <w:t>目前煤</w:t>
            </w:r>
            <w:proofErr w:type="gramEnd"/>
            <w:r w:rsidRPr="00C94FA8">
              <w:rPr>
                <w:rFonts w:ascii="宋体" w:hAnsi="宋体" w:cs="宋体"/>
                <w:kern w:val="0"/>
                <w:sz w:val="24"/>
                <w:szCs w:val="24"/>
              </w:rPr>
              <w:t>制乙二醇处于盈亏线附近，油</w:t>
            </w:r>
            <w:proofErr w:type="gramStart"/>
            <w:r w:rsidRPr="00C94FA8">
              <w:rPr>
                <w:rFonts w:ascii="宋体" w:hAnsi="宋体" w:cs="宋体"/>
                <w:kern w:val="0"/>
                <w:sz w:val="24"/>
                <w:szCs w:val="24"/>
              </w:rPr>
              <w:t>制利润</w:t>
            </w:r>
            <w:proofErr w:type="gramEnd"/>
            <w:r w:rsidRPr="00C94FA8">
              <w:rPr>
                <w:rFonts w:ascii="宋体" w:hAnsi="宋体" w:cs="宋体"/>
                <w:kern w:val="0"/>
                <w:sz w:val="24"/>
                <w:szCs w:val="24"/>
              </w:rPr>
              <w:t>尚可。中长期乙二醇价格主要受制</w:t>
            </w:r>
            <w:proofErr w:type="gramStart"/>
            <w:r w:rsidRPr="00C94FA8">
              <w:rPr>
                <w:rFonts w:ascii="宋体" w:hAnsi="宋体" w:cs="宋体"/>
                <w:kern w:val="0"/>
                <w:sz w:val="24"/>
                <w:szCs w:val="24"/>
              </w:rPr>
              <w:t>于供应</w:t>
            </w:r>
            <w:proofErr w:type="gramEnd"/>
            <w:r w:rsidRPr="00C94FA8">
              <w:rPr>
                <w:rFonts w:ascii="宋体" w:hAnsi="宋体" w:cs="宋体"/>
                <w:kern w:val="0"/>
                <w:sz w:val="24"/>
                <w:szCs w:val="24"/>
              </w:rPr>
              <w:t>压力，不过3-4月份下游需求进入旺季，且油价走势偏强，乙二醇继续做空动能不大，预计EG1906合约涨跌空间较为有限。</w:t>
            </w:r>
            <w:r w:rsidRPr="00C94FA8">
              <w:rPr>
                <w:rFonts w:ascii="宋体" w:hAnsi="宋体" w:cs="宋体"/>
                <w:kern w:val="0"/>
                <w:sz w:val="24"/>
                <w:szCs w:val="24"/>
              </w:rPr>
              <w:br/>
              <w:t>沥青：炼厂库存处于偏低水平，且炼厂开工率仍处于低位，短期内尚无供应压力。部分炼厂预计在2月下旬至3月上旬陆续开工，市场供应有望逐渐增加。马瑞原油上涨也直接导致国内沥青生产成本大幅走高，对沥青市场价格有一定支撑。山东市场主流成交在3100-3150元/吨，华东市场主流成交在3250-3350元/吨，暂时持稳。目前沥青市场利空有限，本周有望延续涨势。</w:t>
            </w:r>
          </w:p>
          <w:p w14:paraId="14E04533"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聚</w:t>
            </w:r>
            <w:r>
              <w:rPr>
                <w:rFonts w:ascii="宋体" w:hAnsi="宋体" w:cs="宋体" w:hint="eastAsia"/>
                <w:kern w:val="0"/>
                <w:sz w:val="24"/>
                <w:szCs w:val="24"/>
              </w:rPr>
              <w:t>烯烃：</w:t>
            </w:r>
            <w:r>
              <w:rPr>
                <w:rFonts w:ascii="宋体" w:hAnsi="宋体" w:cs="宋体" w:hint="eastAsia"/>
                <w:kern w:val="0"/>
                <w:sz w:val="24"/>
                <w:szCs w:val="24"/>
              </w:rPr>
              <w:t>PE</w:t>
            </w:r>
            <w:r>
              <w:rPr>
                <w:rFonts w:ascii="宋体" w:hAnsi="宋体" w:cs="宋体" w:hint="eastAsia"/>
                <w:kern w:val="0"/>
                <w:sz w:val="24"/>
                <w:szCs w:val="24"/>
              </w:rPr>
              <w:t>方面石化库存节后归来增加到</w:t>
            </w:r>
            <w:r>
              <w:rPr>
                <w:rFonts w:ascii="宋体" w:hAnsi="宋体" w:cs="宋体" w:hint="eastAsia"/>
                <w:kern w:val="0"/>
                <w:sz w:val="24"/>
                <w:szCs w:val="24"/>
              </w:rPr>
              <w:t>105</w:t>
            </w:r>
            <w:r>
              <w:rPr>
                <w:rFonts w:ascii="宋体" w:hAnsi="宋体" w:cs="宋体" w:hint="eastAsia"/>
                <w:kern w:val="0"/>
                <w:sz w:val="24"/>
                <w:szCs w:val="24"/>
              </w:rPr>
              <w:t>万吨，春节期间增加了</w:t>
            </w:r>
            <w:r>
              <w:rPr>
                <w:rFonts w:ascii="宋体" w:hAnsi="宋体" w:cs="宋体" w:hint="eastAsia"/>
                <w:kern w:val="0"/>
                <w:sz w:val="24"/>
                <w:szCs w:val="24"/>
              </w:rPr>
              <w:t>40</w:t>
            </w:r>
            <w:r>
              <w:rPr>
                <w:rFonts w:ascii="宋体" w:hAnsi="宋体" w:cs="宋体" w:hint="eastAsia"/>
                <w:kern w:val="0"/>
                <w:sz w:val="24"/>
                <w:szCs w:val="24"/>
              </w:rPr>
              <w:t>万吨的量，主要是由于上游供应检修较少，不停工地生产，而下游修工过年，使得当前处于供应增加，需求待增的这样一个格局，</w:t>
            </w:r>
            <w:r>
              <w:rPr>
                <w:rFonts w:ascii="宋体" w:hAnsi="宋体" w:cs="宋体" w:hint="eastAsia"/>
                <w:kern w:val="0"/>
                <w:sz w:val="24"/>
                <w:szCs w:val="24"/>
              </w:rPr>
              <w:t>3</w:t>
            </w:r>
            <w:r>
              <w:rPr>
                <w:rFonts w:ascii="宋体" w:hAnsi="宋体" w:cs="宋体" w:hint="eastAsia"/>
                <w:kern w:val="0"/>
                <w:sz w:val="24"/>
                <w:szCs w:val="24"/>
              </w:rPr>
              <w:t>月后的地膜需求，以及年后下游返工情况成为主要关乎点，</w:t>
            </w:r>
            <w:r>
              <w:rPr>
                <w:rFonts w:ascii="宋体" w:hAnsi="宋体" w:cs="宋体" w:hint="eastAsia"/>
                <w:kern w:val="0"/>
                <w:sz w:val="24"/>
                <w:szCs w:val="24"/>
              </w:rPr>
              <w:t>2</w:t>
            </w:r>
            <w:r>
              <w:rPr>
                <w:rFonts w:ascii="宋体" w:hAnsi="宋体" w:cs="宋体" w:hint="eastAsia"/>
                <w:kern w:val="0"/>
                <w:sz w:val="24"/>
                <w:szCs w:val="24"/>
              </w:rPr>
              <w:t>月的进口量预计是个大值，比价方面非标的</w:t>
            </w:r>
            <w:r>
              <w:rPr>
                <w:rFonts w:ascii="宋体" w:hAnsi="宋体" w:cs="宋体" w:hint="eastAsia"/>
                <w:kern w:val="0"/>
                <w:sz w:val="24"/>
                <w:szCs w:val="24"/>
              </w:rPr>
              <w:t>LD</w:t>
            </w:r>
            <w:r>
              <w:rPr>
                <w:rFonts w:ascii="宋体" w:hAnsi="宋体" w:cs="宋体" w:hint="eastAsia"/>
                <w:kern w:val="0"/>
                <w:sz w:val="24"/>
                <w:szCs w:val="24"/>
              </w:rPr>
              <w:t>和</w:t>
            </w:r>
            <w:r>
              <w:rPr>
                <w:rFonts w:ascii="宋体" w:hAnsi="宋体" w:cs="宋体" w:hint="eastAsia"/>
                <w:kern w:val="0"/>
                <w:sz w:val="24"/>
                <w:szCs w:val="24"/>
              </w:rPr>
              <w:t>HD</w:t>
            </w:r>
            <w:r>
              <w:rPr>
                <w:rFonts w:ascii="宋体" w:hAnsi="宋体" w:cs="宋体" w:hint="eastAsia"/>
                <w:kern w:val="0"/>
                <w:sz w:val="24"/>
                <w:szCs w:val="24"/>
              </w:rPr>
              <w:t>仍偏弱势，外盘也偏弱，长期新增产能较多，利多偏少，短期油价向下，绝对价格往生产利</w:t>
            </w:r>
            <w:r>
              <w:rPr>
                <w:rFonts w:ascii="宋体" w:hAnsi="宋体" w:cs="宋体" w:hint="eastAsia"/>
                <w:kern w:val="0"/>
                <w:sz w:val="24"/>
                <w:szCs w:val="24"/>
              </w:rPr>
              <w:t>润压缩空间仍有，盘面还是较弱的整理。</w:t>
            </w:r>
            <w:r>
              <w:rPr>
                <w:rFonts w:ascii="宋体" w:hAnsi="宋体" w:cs="宋体" w:hint="eastAsia"/>
                <w:kern w:val="0"/>
                <w:sz w:val="24"/>
                <w:szCs w:val="24"/>
              </w:rPr>
              <w:t>PP</w:t>
            </w:r>
            <w:r>
              <w:rPr>
                <w:rFonts w:ascii="宋体" w:hAnsi="宋体" w:cs="宋体" w:hint="eastAsia"/>
                <w:kern w:val="0"/>
                <w:sz w:val="24"/>
                <w:szCs w:val="24"/>
              </w:rPr>
              <w:t>的整体库存中性的，春节</w:t>
            </w:r>
            <w:proofErr w:type="gramStart"/>
            <w:r>
              <w:rPr>
                <w:rFonts w:ascii="宋体" w:hAnsi="宋体" w:cs="宋体" w:hint="eastAsia"/>
                <w:kern w:val="0"/>
                <w:sz w:val="24"/>
                <w:szCs w:val="24"/>
              </w:rPr>
              <w:t>季节性累库或</w:t>
            </w:r>
            <w:proofErr w:type="gramEnd"/>
            <w:r>
              <w:rPr>
                <w:rFonts w:ascii="宋体" w:hAnsi="宋体" w:cs="宋体" w:hint="eastAsia"/>
                <w:kern w:val="0"/>
                <w:sz w:val="24"/>
                <w:szCs w:val="24"/>
              </w:rPr>
              <w:t>将通过跌价去库，非标价差中性水平，需求在恢复区间，但具体时效性待考量，关注中美贸易谈判及接下来</w:t>
            </w:r>
            <w:r>
              <w:rPr>
                <w:rFonts w:ascii="宋体" w:hAnsi="宋体" w:cs="宋体" w:hint="eastAsia"/>
                <w:kern w:val="0"/>
                <w:sz w:val="24"/>
                <w:szCs w:val="24"/>
              </w:rPr>
              <w:t>2</w:t>
            </w:r>
            <w:r>
              <w:rPr>
                <w:rFonts w:ascii="宋体" w:hAnsi="宋体" w:cs="宋体" w:hint="eastAsia"/>
                <w:kern w:val="0"/>
                <w:sz w:val="24"/>
                <w:szCs w:val="24"/>
              </w:rPr>
              <w:t>周库存情况。</w:t>
            </w:r>
          </w:p>
          <w:p w14:paraId="7ACB6C72"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PVC</w:t>
            </w:r>
            <w:r>
              <w:rPr>
                <w:rFonts w:ascii="宋体" w:hAnsi="宋体" w:cs="宋体" w:hint="eastAsia"/>
                <w:kern w:val="0"/>
                <w:sz w:val="24"/>
                <w:szCs w:val="24"/>
              </w:rPr>
              <w:t>：观点看弱势，主要矛盾在于绝对价格偏高和供应增加有限，电石产量的累赠使得电石价格较低，</w:t>
            </w:r>
            <w:r>
              <w:rPr>
                <w:rFonts w:ascii="宋体" w:hAnsi="宋体" w:cs="宋体" w:hint="eastAsia"/>
                <w:kern w:val="0"/>
                <w:sz w:val="24"/>
                <w:szCs w:val="24"/>
              </w:rPr>
              <w:t>PVC</w:t>
            </w:r>
            <w:r>
              <w:rPr>
                <w:rFonts w:ascii="宋体" w:hAnsi="宋体" w:cs="宋体" w:hint="eastAsia"/>
                <w:kern w:val="0"/>
                <w:sz w:val="24"/>
                <w:szCs w:val="24"/>
              </w:rPr>
              <w:t>生产利润较高，仍有可压缩空间，库存节后累地比较快，至少是超预期的，整体是供应高位、需求修复的阶段，和节前供需表现差别不大，品种价差相对正常，</w:t>
            </w:r>
            <w:proofErr w:type="gramStart"/>
            <w:r>
              <w:rPr>
                <w:rFonts w:ascii="宋体" w:hAnsi="宋体" w:cs="宋体" w:hint="eastAsia"/>
                <w:kern w:val="0"/>
                <w:sz w:val="24"/>
                <w:szCs w:val="24"/>
              </w:rPr>
              <w:t>港口累库的</w:t>
            </w:r>
            <w:proofErr w:type="gramEnd"/>
            <w:r>
              <w:rPr>
                <w:rFonts w:ascii="宋体" w:hAnsi="宋体" w:cs="宋体" w:hint="eastAsia"/>
                <w:kern w:val="0"/>
                <w:sz w:val="24"/>
                <w:szCs w:val="24"/>
              </w:rPr>
              <w:t>速率基本与去年相差不大，但是超预期地累上了，价格短期向上较难。</w:t>
            </w:r>
          </w:p>
          <w:p w14:paraId="690C5715"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甲醇：春节季节性</w:t>
            </w:r>
            <w:proofErr w:type="gramStart"/>
            <w:r>
              <w:rPr>
                <w:rFonts w:ascii="宋体" w:hAnsi="宋体" w:cs="宋体" w:hint="eastAsia"/>
                <w:kern w:val="0"/>
                <w:sz w:val="24"/>
                <w:szCs w:val="24"/>
              </w:rPr>
              <w:t>累库导致</w:t>
            </w:r>
            <w:proofErr w:type="gramEnd"/>
            <w:r>
              <w:rPr>
                <w:rFonts w:ascii="宋体" w:hAnsi="宋体" w:cs="宋体" w:hint="eastAsia"/>
                <w:kern w:val="0"/>
                <w:sz w:val="24"/>
                <w:szCs w:val="24"/>
              </w:rPr>
              <w:t>甲醇当前港口库存仍偏高，内地现货难有大涨动能。供需方面，检修计划偏少，西南气头装置复产，进口端由于外盘装置问题预计一季度进口量增量有限。传统下游需求为未恢复，外采</w:t>
            </w:r>
            <w:r>
              <w:rPr>
                <w:rFonts w:ascii="宋体" w:hAnsi="宋体" w:cs="宋体" w:hint="eastAsia"/>
                <w:kern w:val="0"/>
                <w:sz w:val="24"/>
                <w:szCs w:val="24"/>
              </w:rPr>
              <w:t>MTO</w:t>
            </w:r>
            <w:r>
              <w:rPr>
                <w:rFonts w:ascii="宋体" w:hAnsi="宋体" w:cs="宋体" w:hint="eastAsia"/>
                <w:kern w:val="0"/>
                <w:sz w:val="24"/>
                <w:szCs w:val="24"/>
              </w:rPr>
              <w:t>停产的未恢复，上游利润低位，下游利润尚可，</w:t>
            </w:r>
            <w:r>
              <w:rPr>
                <w:rFonts w:ascii="宋体" w:hAnsi="宋体" w:cs="宋体" w:hint="eastAsia"/>
                <w:kern w:val="0"/>
                <w:sz w:val="24"/>
                <w:szCs w:val="24"/>
              </w:rPr>
              <w:t>MTO</w:t>
            </w:r>
            <w:r>
              <w:rPr>
                <w:rFonts w:ascii="宋体" w:hAnsi="宋体" w:cs="宋体" w:hint="eastAsia"/>
                <w:kern w:val="0"/>
                <w:sz w:val="24"/>
                <w:szCs w:val="24"/>
              </w:rPr>
              <w:t>经济性改善，区域套利窗口打开。考虑煤油比价偏高，煤价的下跌修复的预期增加，宏观利空尚未释放完毕，有进一步下探可能，整体趋势依然偏空，反弹力度有限，但是未来仍有上游春检和</w:t>
            </w:r>
            <w:r>
              <w:rPr>
                <w:rFonts w:ascii="宋体" w:hAnsi="宋体" w:cs="宋体" w:hint="eastAsia"/>
                <w:kern w:val="0"/>
                <w:sz w:val="24"/>
                <w:szCs w:val="24"/>
              </w:rPr>
              <w:t>MTO</w:t>
            </w:r>
            <w:r>
              <w:rPr>
                <w:rFonts w:ascii="宋体" w:hAnsi="宋体" w:cs="宋体" w:hint="eastAsia"/>
                <w:kern w:val="0"/>
                <w:sz w:val="24"/>
                <w:szCs w:val="24"/>
              </w:rPr>
              <w:t>新装置开车利多支撑，综合判断甲醇的价格短期维持震荡偏弱，中期关注利多的兑现情况。</w:t>
            </w:r>
          </w:p>
        </w:tc>
      </w:tr>
      <w:tr w:rsidR="00E91428" w14:paraId="58582BF3" w14:textId="77777777">
        <w:trPr>
          <w:trHeight w:val="1198"/>
          <w:jc w:val="center"/>
        </w:trPr>
        <w:tc>
          <w:tcPr>
            <w:tcW w:w="428" w:type="dxa"/>
            <w:vMerge/>
            <w:vAlign w:val="center"/>
          </w:tcPr>
          <w:p w14:paraId="55B879F2" w14:textId="77777777" w:rsidR="00E91428" w:rsidRDefault="00E91428">
            <w:pPr>
              <w:jc w:val="center"/>
              <w:rPr>
                <w:rFonts w:ascii="宋体" w:hAnsi="宋体"/>
                <w:b/>
                <w:sz w:val="24"/>
                <w:szCs w:val="21"/>
              </w:rPr>
            </w:pPr>
          </w:p>
        </w:tc>
        <w:tc>
          <w:tcPr>
            <w:tcW w:w="928" w:type="dxa"/>
            <w:vAlign w:val="center"/>
          </w:tcPr>
          <w:p w14:paraId="212B227D" w14:textId="77777777" w:rsidR="00E91428" w:rsidRDefault="00E510D6">
            <w:pPr>
              <w:jc w:val="center"/>
              <w:rPr>
                <w:rFonts w:ascii="宋体" w:hAnsi="宋体"/>
                <w:szCs w:val="21"/>
              </w:rPr>
            </w:pPr>
            <w:r>
              <w:rPr>
                <w:rFonts w:ascii="宋体" w:hAnsi="宋体" w:hint="eastAsia"/>
                <w:szCs w:val="21"/>
              </w:rPr>
              <w:t>PTA</w:t>
            </w:r>
          </w:p>
        </w:tc>
        <w:tc>
          <w:tcPr>
            <w:tcW w:w="1165" w:type="dxa"/>
            <w:vAlign w:val="center"/>
          </w:tcPr>
          <w:p w14:paraId="0ED6ECA1" w14:textId="77777777" w:rsidR="00E91428" w:rsidRDefault="00E510D6">
            <w:pPr>
              <w:jc w:val="center"/>
              <w:rPr>
                <w:rFonts w:ascii="宋体" w:hAnsi="宋体"/>
                <w:szCs w:val="21"/>
              </w:rPr>
            </w:pPr>
            <w:r>
              <w:rPr>
                <w:rFonts w:ascii="宋体" w:hAnsi="宋体" w:hint="eastAsia"/>
                <w:szCs w:val="21"/>
              </w:rPr>
              <w:t>偏多</w:t>
            </w:r>
          </w:p>
        </w:tc>
        <w:tc>
          <w:tcPr>
            <w:tcW w:w="7368" w:type="dxa"/>
            <w:vMerge/>
          </w:tcPr>
          <w:p w14:paraId="6640A072" w14:textId="77777777" w:rsidR="00E91428" w:rsidRDefault="00E91428">
            <w:pPr>
              <w:rPr>
                <w:szCs w:val="21"/>
              </w:rPr>
            </w:pPr>
          </w:p>
        </w:tc>
      </w:tr>
      <w:tr w:rsidR="00E91428" w14:paraId="0241E95A" w14:textId="77777777">
        <w:trPr>
          <w:trHeight w:val="1198"/>
          <w:jc w:val="center"/>
        </w:trPr>
        <w:tc>
          <w:tcPr>
            <w:tcW w:w="428" w:type="dxa"/>
            <w:vMerge/>
            <w:vAlign w:val="center"/>
          </w:tcPr>
          <w:p w14:paraId="499AF0C1" w14:textId="77777777" w:rsidR="00E91428" w:rsidRDefault="00E91428">
            <w:pPr>
              <w:jc w:val="center"/>
              <w:rPr>
                <w:rFonts w:ascii="宋体" w:hAnsi="宋体"/>
                <w:b/>
                <w:sz w:val="24"/>
                <w:szCs w:val="21"/>
              </w:rPr>
            </w:pPr>
          </w:p>
        </w:tc>
        <w:tc>
          <w:tcPr>
            <w:tcW w:w="928" w:type="dxa"/>
            <w:vAlign w:val="center"/>
          </w:tcPr>
          <w:p w14:paraId="5812F008" w14:textId="77777777" w:rsidR="00E91428" w:rsidRDefault="00E510D6">
            <w:pPr>
              <w:jc w:val="center"/>
              <w:rPr>
                <w:rFonts w:ascii="宋体" w:hAnsi="宋体"/>
                <w:szCs w:val="21"/>
              </w:rPr>
            </w:pPr>
            <w:r>
              <w:rPr>
                <w:rFonts w:ascii="宋体" w:hAnsi="宋体" w:cs="宋体" w:hint="eastAsia"/>
                <w:kern w:val="0"/>
                <w:sz w:val="22"/>
                <w:szCs w:val="24"/>
              </w:rPr>
              <w:t>乙二醇</w:t>
            </w:r>
          </w:p>
        </w:tc>
        <w:tc>
          <w:tcPr>
            <w:tcW w:w="1165" w:type="dxa"/>
            <w:vAlign w:val="center"/>
          </w:tcPr>
          <w:p w14:paraId="698F4D87" w14:textId="77777777" w:rsidR="00E91428" w:rsidRDefault="00E510D6">
            <w:pPr>
              <w:jc w:val="center"/>
              <w:rPr>
                <w:rFonts w:ascii="宋体" w:hAnsi="宋体"/>
                <w:szCs w:val="21"/>
              </w:rPr>
            </w:pPr>
            <w:r>
              <w:rPr>
                <w:rFonts w:ascii="宋体" w:hAnsi="宋体" w:hint="eastAsia"/>
                <w:szCs w:val="21"/>
              </w:rPr>
              <w:t>震荡</w:t>
            </w:r>
          </w:p>
        </w:tc>
        <w:tc>
          <w:tcPr>
            <w:tcW w:w="7368" w:type="dxa"/>
            <w:vMerge/>
          </w:tcPr>
          <w:p w14:paraId="399E2017" w14:textId="77777777" w:rsidR="00E91428" w:rsidRDefault="00E91428">
            <w:pPr>
              <w:rPr>
                <w:szCs w:val="21"/>
              </w:rPr>
            </w:pPr>
          </w:p>
        </w:tc>
      </w:tr>
      <w:tr w:rsidR="00E91428" w14:paraId="19176549" w14:textId="77777777">
        <w:trPr>
          <w:trHeight w:val="1258"/>
          <w:jc w:val="center"/>
        </w:trPr>
        <w:tc>
          <w:tcPr>
            <w:tcW w:w="428" w:type="dxa"/>
            <w:vMerge/>
            <w:vAlign w:val="center"/>
          </w:tcPr>
          <w:p w14:paraId="35A1D0C0" w14:textId="77777777" w:rsidR="00E91428" w:rsidRDefault="00E91428">
            <w:pPr>
              <w:rPr>
                <w:rFonts w:ascii="宋体" w:hAnsi="宋体"/>
                <w:b/>
                <w:sz w:val="24"/>
                <w:szCs w:val="21"/>
              </w:rPr>
            </w:pPr>
          </w:p>
        </w:tc>
        <w:tc>
          <w:tcPr>
            <w:tcW w:w="928" w:type="dxa"/>
            <w:vAlign w:val="center"/>
          </w:tcPr>
          <w:p w14:paraId="1BD2324B" w14:textId="77777777" w:rsidR="00E91428" w:rsidRDefault="00E510D6">
            <w:pPr>
              <w:jc w:val="center"/>
              <w:rPr>
                <w:rFonts w:ascii="宋体" w:hAnsi="宋体"/>
                <w:szCs w:val="21"/>
              </w:rPr>
            </w:pPr>
            <w:r>
              <w:rPr>
                <w:rFonts w:ascii="宋体" w:hAnsi="宋体"/>
                <w:szCs w:val="21"/>
              </w:rPr>
              <w:t>沥青</w:t>
            </w:r>
          </w:p>
        </w:tc>
        <w:tc>
          <w:tcPr>
            <w:tcW w:w="1165" w:type="dxa"/>
            <w:vAlign w:val="center"/>
          </w:tcPr>
          <w:p w14:paraId="69E017DF" w14:textId="77777777" w:rsidR="00E91428" w:rsidRDefault="00E510D6">
            <w:pPr>
              <w:jc w:val="center"/>
              <w:rPr>
                <w:rFonts w:ascii="宋体" w:hAnsi="宋体"/>
                <w:szCs w:val="21"/>
              </w:rPr>
            </w:pPr>
            <w:r>
              <w:rPr>
                <w:rFonts w:ascii="宋体" w:hAnsi="宋体" w:hint="eastAsia"/>
                <w:szCs w:val="21"/>
              </w:rPr>
              <w:t>震荡</w:t>
            </w:r>
          </w:p>
        </w:tc>
        <w:tc>
          <w:tcPr>
            <w:tcW w:w="7368" w:type="dxa"/>
            <w:vMerge/>
            <w:vAlign w:val="center"/>
          </w:tcPr>
          <w:p w14:paraId="5500C1CB" w14:textId="77777777" w:rsidR="00E91428" w:rsidRDefault="00E91428">
            <w:pPr>
              <w:rPr>
                <w:rFonts w:ascii="宋体" w:hAnsi="宋体"/>
                <w:kern w:val="0"/>
                <w:szCs w:val="21"/>
              </w:rPr>
            </w:pPr>
          </w:p>
        </w:tc>
      </w:tr>
      <w:tr w:rsidR="00E91428" w14:paraId="0ABDCA82" w14:textId="77777777">
        <w:trPr>
          <w:trHeight w:val="894"/>
          <w:jc w:val="center"/>
        </w:trPr>
        <w:tc>
          <w:tcPr>
            <w:tcW w:w="428" w:type="dxa"/>
            <w:vMerge/>
            <w:vAlign w:val="center"/>
          </w:tcPr>
          <w:p w14:paraId="31956182" w14:textId="77777777" w:rsidR="00E91428" w:rsidRDefault="00E91428">
            <w:pPr>
              <w:rPr>
                <w:rFonts w:ascii="宋体" w:hAnsi="宋体"/>
                <w:b/>
                <w:sz w:val="24"/>
                <w:szCs w:val="21"/>
              </w:rPr>
            </w:pPr>
          </w:p>
        </w:tc>
        <w:tc>
          <w:tcPr>
            <w:tcW w:w="928" w:type="dxa"/>
            <w:vAlign w:val="center"/>
          </w:tcPr>
          <w:p w14:paraId="4ACA96B6" w14:textId="77777777" w:rsidR="00E91428" w:rsidRDefault="00E510D6">
            <w:pPr>
              <w:jc w:val="center"/>
              <w:rPr>
                <w:rFonts w:ascii="宋体" w:hAnsi="宋体"/>
                <w:szCs w:val="21"/>
              </w:rPr>
            </w:pPr>
            <w:r>
              <w:rPr>
                <w:rFonts w:ascii="宋体" w:hAnsi="宋体" w:hint="eastAsia"/>
                <w:szCs w:val="21"/>
              </w:rPr>
              <w:t>橡胶</w:t>
            </w:r>
          </w:p>
        </w:tc>
        <w:tc>
          <w:tcPr>
            <w:tcW w:w="1165" w:type="dxa"/>
            <w:vAlign w:val="center"/>
          </w:tcPr>
          <w:p w14:paraId="59049FD4" w14:textId="77777777" w:rsidR="00E91428" w:rsidRDefault="00E510D6">
            <w:pPr>
              <w:jc w:val="center"/>
              <w:rPr>
                <w:rFonts w:ascii="宋体" w:hAnsi="宋体"/>
                <w:kern w:val="0"/>
                <w:szCs w:val="21"/>
              </w:rPr>
            </w:pPr>
            <w:r>
              <w:rPr>
                <w:rFonts w:ascii="宋体" w:hAnsi="宋体" w:cs="宋体" w:hint="eastAsia"/>
                <w:bCs/>
                <w:kern w:val="0"/>
                <w:szCs w:val="21"/>
              </w:rPr>
              <w:t>震荡</w:t>
            </w:r>
            <w:r>
              <w:rPr>
                <w:rFonts w:ascii="宋体" w:hAnsi="宋体" w:cs="宋体" w:hint="eastAsia"/>
                <w:kern w:val="0"/>
                <w:szCs w:val="21"/>
              </w:rPr>
              <w:t xml:space="preserve">  </w:t>
            </w:r>
            <w:r>
              <w:rPr>
                <w:rFonts w:ascii="宋体" w:hAnsi="宋体" w:cs="宋体" w:hint="eastAsia"/>
                <w:bCs/>
                <w:kern w:val="0"/>
                <w:szCs w:val="21"/>
              </w:rPr>
              <w:t xml:space="preserve">  </w:t>
            </w:r>
          </w:p>
        </w:tc>
        <w:tc>
          <w:tcPr>
            <w:tcW w:w="7368" w:type="dxa"/>
            <w:vMerge/>
            <w:vAlign w:val="center"/>
          </w:tcPr>
          <w:p w14:paraId="21746E72" w14:textId="77777777" w:rsidR="00E91428" w:rsidRDefault="00E91428">
            <w:pPr>
              <w:rPr>
                <w:rFonts w:ascii="宋体" w:hAnsi="宋体"/>
                <w:kern w:val="0"/>
                <w:szCs w:val="21"/>
              </w:rPr>
            </w:pPr>
          </w:p>
        </w:tc>
      </w:tr>
      <w:tr w:rsidR="00E91428" w14:paraId="201A8074" w14:textId="77777777">
        <w:trPr>
          <w:trHeight w:val="1032"/>
          <w:jc w:val="center"/>
        </w:trPr>
        <w:tc>
          <w:tcPr>
            <w:tcW w:w="428" w:type="dxa"/>
            <w:vMerge/>
            <w:vAlign w:val="center"/>
          </w:tcPr>
          <w:p w14:paraId="2E0E8E75" w14:textId="77777777" w:rsidR="00E91428" w:rsidRDefault="00E91428">
            <w:pPr>
              <w:rPr>
                <w:rFonts w:ascii="宋体" w:hAnsi="宋体"/>
                <w:b/>
                <w:sz w:val="24"/>
                <w:szCs w:val="21"/>
              </w:rPr>
            </w:pPr>
          </w:p>
        </w:tc>
        <w:tc>
          <w:tcPr>
            <w:tcW w:w="928" w:type="dxa"/>
            <w:vAlign w:val="center"/>
          </w:tcPr>
          <w:p w14:paraId="7F7BDEF0" w14:textId="77777777" w:rsidR="00E91428" w:rsidRDefault="00E510D6">
            <w:pPr>
              <w:jc w:val="center"/>
              <w:rPr>
                <w:rFonts w:ascii="宋体" w:hAnsi="宋体"/>
                <w:szCs w:val="21"/>
              </w:rPr>
            </w:pPr>
            <w:r>
              <w:rPr>
                <w:rFonts w:ascii="宋体" w:hAnsi="宋体" w:hint="eastAsia"/>
                <w:szCs w:val="21"/>
              </w:rPr>
              <w:t>LLDPE</w:t>
            </w:r>
          </w:p>
        </w:tc>
        <w:tc>
          <w:tcPr>
            <w:tcW w:w="1165" w:type="dxa"/>
            <w:vAlign w:val="center"/>
          </w:tcPr>
          <w:p w14:paraId="4E24A57B" w14:textId="77777777" w:rsidR="00E91428" w:rsidRDefault="00E510D6">
            <w:pPr>
              <w:jc w:val="center"/>
              <w:rPr>
                <w:rFonts w:ascii="宋体" w:hAnsi="宋体"/>
                <w:kern w:val="0"/>
                <w:szCs w:val="21"/>
              </w:rPr>
            </w:pPr>
            <w:r>
              <w:rPr>
                <w:rFonts w:ascii="宋体" w:hAnsi="宋体" w:hint="eastAsia"/>
                <w:kern w:val="0"/>
                <w:szCs w:val="21"/>
              </w:rPr>
              <w:t>震荡</w:t>
            </w:r>
          </w:p>
        </w:tc>
        <w:tc>
          <w:tcPr>
            <w:tcW w:w="7368" w:type="dxa"/>
            <w:vMerge/>
            <w:vAlign w:val="center"/>
          </w:tcPr>
          <w:p w14:paraId="6EED491B" w14:textId="77777777" w:rsidR="00E91428" w:rsidRDefault="00E91428">
            <w:pPr>
              <w:rPr>
                <w:rFonts w:ascii="宋体" w:hAnsi="宋体"/>
                <w:kern w:val="0"/>
                <w:szCs w:val="21"/>
              </w:rPr>
            </w:pPr>
          </w:p>
        </w:tc>
      </w:tr>
      <w:tr w:rsidR="00E91428" w14:paraId="78765532" w14:textId="77777777">
        <w:trPr>
          <w:trHeight w:val="584"/>
          <w:jc w:val="center"/>
        </w:trPr>
        <w:tc>
          <w:tcPr>
            <w:tcW w:w="428" w:type="dxa"/>
            <w:vMerge/>
            <w:vAlign w:val="center"/>
          </w:tcPr>
          <w:p w14:paraId="33BEAE7E" w14:textId="77777777" w:rsidR="00E91428" w:rsidRDefault="00E91428">
            <w:pPr>
              <w:rPr>
                <w:rFonts w:ascii="宋体" w:hAnsi="宋体"/>
                <w:b/>
                <w:sz w:val="24"/>
                <w:szCs w:val="21"/>
              </w:rPr>
            </w:pPr>
          </w:p>
        </w:tc>
        <w:tc>
          <w:tcPr>
            <w:tcW w:w="928" w:type="dxa"/>
            <w:vAlign w:val="center"/>
          </w:tcPr>
          <w:p w14:paraId="3538F523" w14:textId="77777777" w:rsidR="00E91428" w:rsidRDefault="00E510D6">
            <w:pPr>
              <w:jc w:val="center"/>
              <w:rPr>
                <w:rFonts w:ascii="宋体" w:hAnsi="宋体"/>
                <w:szCs w:val="21"/>
              </w:rPr>
            </w:pPr>
            <w:r>
              <w:rPr>
                <w:rFonts w:ascii="宋体" w:hAnsi="宋体" w:hint="eastAsia"/>
                <w:szCs w:val="21"/>
              </w:rPr>
              <w:t>PP</w:t>
            </w:r>
          </w:p>
        </w:tc>
        <w:tc>
          <w:tcPr>
            <w:tcW w:w="1165" w:type="dxa"/>
            <w:vAlign w:val="center"/>
          </w:tcPr>
          <w:p w14:paraId="6520FFA0" w14:textId="77777777" w:rsidR="00E91428" w:rsidRDefault="00E510D6">
            <w:pPr>
              <w:jc w:val="center"/>
              <w:rPr>
                <w:rFonts w:ascii="宋体" w:hAnsi="宋体"/>
                <w:kern w:val="0"/>
                <w:szCs w:val="21"/>
              </w:rPr>
            </w:pPr>
            <w:r>
              <w:rPr>
                <w:rFonts w:ascii="宋体" w:hAnsi="宋体" w:hint="eastAsia"/>
                <w:kern w:val="0"/>
                <w:szCs w:val="21"/>
              </w:rPr>
              <w:t>震荡</w:t>
            </w:r>
          </w:p>
        </w:tc>
        <w:tc>
          <w:tcPr>
            <w:tcW w:w="7368" w:type="dxa"/>
            <w:vMerge/>
            <w:vAlign w:val="center"/>
          </w:tcPr>
          <w:p w14:paraId="3DFB9B01" w14:textId="77777777" w:rsidR="00E91428" w:rsidRDefault="00E91428">
            <w:pPr>
              <w:rPr>
                <w:rFonts w:ascii="宋体" w:hAnsi="宋体"/>
                <w:kern w:val="0"/>
                <w:szCs w:val="21"/>
              </w:rPr>
            </w:pPr>
          </w:p>
        </w:tc>
      </w:tr>
      <w:tr w:rsidR="00E91428" w14:paraId="63396AF4" w14:textId="77777777">
        <w:trPr>
          <w:trHeight w:val="565"/>
          <w:jc w:val="center"/>
        </w:trPr>
        <w:tc>
          <w:tcPr>
            <w:tcW w:w="428" w:type="dxa"/>
            <w:vMerge/>
            <w:vAlign w:val="center"/>
          </w:tcPr>
          <w:p w14:paraId="6EAF4537" w14:textId="77777777" w:rsidR="00E91428" w:rsidRDefault="00E91428">
            <w:pPr>
              <w:rPr>
                <w:rFonts w:ascii="宋体" w:hAnsi="宋体"/>
                <w:b/>
                <w:sz w:val="24"/>
                <w:szCs w:val="21"/>
              </w:rPr>
            </w:pPr>
          </w:p>
        </w:tc>
        <w:tc>
          <w:tcPr>
            <w:tcW w:w="928" w:type="dxa"/>
            <w:vAlign w:val="center"/>
          </w:tcPr>
          <w:p w14:paraId="54FF381B" w14:textId="77777777" w:rsidR="00E91428" w:rsidRDefault="00E510D6">
            <w:pPr>
              <w:jc w:val="center"/>
              <w:rPr>
                <w:rFonts w:ascii="宋体" w:hAnsi="宋体"/>
                <w:szCs w:val="21"/>
              </w:rPr>
            </w:pPr>
            <w:r>
              <w:rPr>
                <w:rFonts w:ascii="宋体" w:hAnsi="宋体" w:hint="eastAsia"/>
                <w:szCs w:val="21"/>
              </w:rPr>
              <w:t>甲醇</w:t>
            </w:r>
          </w:p>
        </w:tc>
        <w:tc>
          <w:tcPr>
            <w:tcW w:w="1165" w:type="dxa"/>
            <w:vAlign w:val="center"/>
          </w:tcPr>
          <w:p w14:paraId="5E1837A7" w14:textId="77777777" w:rsidR="00E91428" w:rsidRDefault="00E510D6">
            <w:pPr>
              <w:jc w:val="center"/>
              <w:rPr>
                <w:rFonts w:ascii="宋体" w:hAnsi="宋体"/>
                <w:kern w:val="0"/>
                <w:szCs w:val="21"/>
              </w:rPr>
            </w:pPr>
            <w:r>
              <w:rPr>
                <w:rFonts w:ascii="宋体" w:hAnsi="宋体" w:hint="eastAsia"/>
                <w:kern w:val="0"/>
                <w:szCs w:val="21"/>
              </w:rPr>
              <w:t>震荡</w:t>
            </w:r>
          </w:p>
        </w:tc>
        <w:tc>
          <w:tcPr>
            <w:tcW w:w="7368" w:type="dxa"/>
            <w:vMerge/>
            <w:vAlign w:val="center"/>
          </w:tcPr>
          <w:p w14:paraId="621BE552" w14:textId="77777777" w:rsidR="00E91428" w:rsidRDefault="00E91428">
            <w:pPr>
              <w:rPr>
                <w:rFonts w:ascii="宋体" w:hAnsi="宋体"/>
                <w:kern w:val="0"/>
                <w:szCs w:val="21"/>
              </w:rPr>
            </w:pPr>
          </w:p>
        </w:tc>
      </w:tr>
      <w:tr w:rsidR="00E91428" w14:paraId="010D6C2E" w14:textId="77777777">
        <w:trPr>
          <w:trHeight w:val="407"/>
          <w:jc w:val="center"/>
        </w:trPr>
        <w:tc>
          <w:tcPr>
            <w:tcW w:w="428" w:type="dxa"/>
            <w:vMerge/>
            <w:vAlign w:val="center"/>
          </w:tcPr>
          <w:p w14:paraId="2CC90F9F" w14:textId="77777777" w:rsidR="00E91428" w:rsidRDefault="00E91428">
            <w:pPr>
              <w:rPr>
                <w:rFonts w:ascii="宋体" w:hAnsi="宋体"/>
                <w:b/>
                <w:sz w:val="24"/>
                <w:szCs w:val="21"/>
              </w:rPr>
            </w:pPr>
          </w:p>
        </w:tc>
        <w:tc>
          <w:tcPr>
            <w:tcW w:w="928" w:type="dxa"/>
            <w:vAlign w:val="center"/>
          </w:tcPr>
          <w:p w14:paraId="38691FB4" w14:textId="77777777" w:rsidR="00E91428" w:rsidRDefault="00E510D6">
            <w:pPr>
              <w:jc w:val="center"/>
              <w:rPr>
                <w:rFonts w:ascii="宋体" w:hAnsi="宋体"/>
                <w:szCs w:val="21"/>
              </w:rPr>
            </w:pPr>
            <w:r>
              <w:rPr>
                <w:rFonts w:ascii="宋体" w:hAnsi="宋体" w:hint="eastAsia"/>
                <w:szCs w:val="21"/>
              </w:rPr>
              <w:t>PVC</w:t>
            </w:r>
          </w:p>
        </w:tc>
        <w:tc>
          <w:tcPr>
            <w:tcW w:w="1165" w:type="dxa"/>
            <w:vAlign w:val="center"/>
          </w:tcPr>
          <w:p w14:paraId="33F2072C" w14:textId="77777777" w:rsidR="00E91428" w:rsidRDefault="00E510D6">
            <w:pPr>
              <w:jc w:val="center"/>
              <w:rPr>
                <w:rFonts w:ascii="宋体" w:hAnsi="宋体"/>
                <w:kern w:val="0"/>
                <w:szCs w:val="21"/>
              </w:rPr>
            </w:pPr>
            <w:r>
              <w:rPr>
                <w:rFonts w:ascii="宋体" w:hAnsi="宋体" w:hint="eastAsia"/>
                <w:kern w:val="0"/>
                <w:szCs w:val="21"/>
              </w:rPr>
              <w:t>震荡</w:t>
            </w:r>
          </w:p>
        </w:tc>
        <w:tc>
          <w:tcPr>
            <w:tcW w:w="7368" w:type="dxa"/>
            <w:vMerge/>
            <w:vAlign w:val="center"/>
          </w:tcPr>
          <w:p w14:paraId="6709E119" w14:textId="77777777" w:rsidR="00E91428" w:rsidRDefault="00E91428">
            <w:pPr>
              <w:rPr>
                <w:rFonts w:ascii="宋体" w:hAnsi="宋体"/>
                <w:kern w:val="0"/>
                <w:szCs w:val="21"/>
              </w:rPr>
            </w:pPr>
          </w:p>
        </w:tc>
      </w:tr>
    </w:tbl>
    <w:bookmarkEnd w:id="0"/>
    <w:bookmarkEnd w:id="1"/>
    <w:p w14:paraId="7AFBC9FE" w14:textId="77777777" w:rsidR="00E91428" w:rsidRDefault="00E510D6">
      <w:pPr>
        <w:widowControl/>
        <w:numPr>
          <w:ilvl w:val="0"/>
          <w:numId w:val="1"/>
        </w:numPr>
        <w:spacing w:line="300" w:lineRule="auto"/>
        <w:jc w:val="left"/>
        <w:rPr>
          <w:rFonts w:ascii="宋体" w:hAnsi="宋体"/>
          <w:b/>
          <w:sz w:val="28"/>
        </w:rPr>
      </w:pPr>
      <w:r>
        <w:rPr>
          <w:rFonts w:ascii="宋体" w:hAnsi="宋体" w:hint="eastAsia"/>
          <w:b/>
          <w:sz w:val="28"/>
        </w:rPr>
        <w:t>重点品种产业链资讯热点</w:t>
      </w:r>
      <w:bookmarkEnd w:id="2"/>
    </w:p>
    <w:tbl>
      <w:tblPr>
        <w:tblW w:w="9213" w:type="dxa"/>
        <w:tblInd w:w="534" w:type="dxa"/>
        <w:tblBorders>
          <w:top w:val="single" w:sz="8" w:space="0" w:color="FF0000"/>
          <w:left w:val="dashed" w:sz="4" w:space="0" w:color="FF0000"/>
          <w:bottom w:val="single" w:sz="8" w:space="0" w:color="FF0000"/>
          <w:right w:val="dashed" w:sz="4" w:space="0" w:color="FF0000"/>
          <w:insideH w:val="single" w:sz="8" w:space="0" w:color="FF0000"/>
          <w:insideV w:val="single" w:sz="8" w:space="0" w:color="FF0000"/>
        </w:tblBorders>
        <w:tblLayout w:type="fixed"/>
        <w:tblLook w:val="04A0" w:firstRow="1" w:lastRow="0" w:firstColumn="1" w:lastColumn="0" w:noHBand="0" w:noVBand="1"/>
      </w:tblPr>
      <w:tblGrid>
        <w:gridCol w:w="9213"/>
      </w:tblGrid>
      <w:tr w:rsidR="00E91428" w14:paraId="7B9D60F7" w14:textId="77777777">
        <w:trPr>
          <w:trHeight w:val="265"/>
        </w:trPr>
        <w:tc>
          <w:tcPr>
            <w:tcW w:w="9213" w:type="dxa"/>
          </w:tcPr>
          <w:p w14:paraId="288118B3" w14:textId="77777777" w:rsidR="00E91428" w:rsidRDefault="00E510D6">
            <w:pPr>
              <w:widowControl/>
              <w:jc w:val="left"/>
              <w:rPr>
                <w:rFonts w:ascii="黑体" w:eastAsia="黑体" w:hAnsi="宋体"/>
                <w:b/>
                <w:color w:val="000000"/>
              </w:rPr>
            </w:pPr>
            <w:r>
              <w:rPr>
                <w:rFonts w:ascii="黑体" w:eastAsia="黑体" w:hAnsi="宋体" w:hint="eastAsia"/>
                <w:color w:val="000000"/>
              </w:rPr>
              <w:lastRenderedPageBreak/>
              <w:t xml:space="preserve"> </w:t>
            </w:r>
            <w:r>
              <w:rPr>
                <w:rFonts w:ascii="黑体" w:eastAsia="黑体" w:hAnsi="宋体"/>
                <w:color w:val="000000"/>
              </w:rPr>
              <w:t xml:space="preserve">                                 </w:t>
            </w:r>
            <w:r>
              <w:rPr>
                <w:rFonts w:ascii="黑体" w:eastAsia="黑体" w:hAnsi="宋体"/>
                <w:b/>
                <w:color w:val="000000"/>
              </w:rPr>
              <w:t xml:space="preserve">   </w:t>
            </w:r>
            <w:r>
              <w:rPr>
                <w:rFonts w:ascii="黑体" w:eastAsia="黑体" w:hAnsi="宋体" w:hint="eastAsia"/>
                <w:b/>
                <w:color w:val="000000"/>
                <w:sz w:val="24"/>
              </w:rPr>
              <w:t>宏</w:t>
            </w:r>
            <w:r>
              <w:rPr>
                <w:rFonts w:ascii="黑体" w:eastAsia="黑体" w:hAnsi="宋体" w:hint="eastAsia"/>
                <w:b/>
                <w:color w:val="000000"/>
                <w:sz w:val="24"/>
              </w:rPr>
              <w:t xml:space="preserve">  </w:t>
            </w:r>
            <w:r>
              <w:rPr>
                <w:rFonts w:ascii="黑体" w:eastAsia="黑体" w:hAnsi="宋体" w:hint="eastAsia"/>
                <w:b/>
                <w:color w:val="000000"/>
                <w:sz w:val="24"/>
              </w:rPr>
              <w:t>观</w:t>
            </w:r>
          </w:p>
        </w:tc>
      </w:tr>
      <w:tr w:rsidR="00E91428" w14:paraId="7C86E8A1" w14:textId="77777777" w:rsidTr="00C94FA8">
        <w:trPr>
          <w:trHeight w:val="8393"/>
        </w:trPr>
        <w:tc>
          <w:tcPr>
            <w:tcW w:w="9213" w:type="dxa"/>
          </w:tcPr>
          <w:p w14:paraId="5F9DF10B" w14:textId="77777777" w:rsidR="00C94FA8" w:rsidRDefault="00C94FA8" w:rsidP="00C94FA8">
            <w:pPr>
              <w:widowControl/>
              <w:spacing w:after="240"/>
              <w:jc w:val="left"/>
              <w:rPr>
                <w:rFonts w:ascii="宋体" w:hAnsi="宋体" w:cs="宋体"/>
                <w:kern w:val="0"/>
                <w:sz w:val="24"/>
                <w:szCs w:val="24"/>
              </w:rPr>
            </w:pPr>
            <w:r w:rsidRPr="00C94FA8">
              <w:rPr>
                <w:rFonts w:ascii="宋体" w:hAnsi="宋体" w:cs="宋体" w:hint="eastAsia"/>
                <w:kern w:val="0"/>
                <w:sz w:val="24"/>
                <w:szCs w:val="24"/>
              </w:rPr>
              <w:t>1．2月14-15日，中共中央政治局委员、国务院副总理、中美全面经济对话中方牵头人刘鹤与美国贸易代表莱特希泽、财政部长姆努钦在北京举行第六轮中美经贸高级别磋商。双方认真落实两国元首阿根廷会晤共识，对技术转让、知识产权保护、非关税壁垒、服务业、农业、贸易平衡、实施机制等共同关注的议题以及中方关切问题进行了深入交流。双方就主要问题达成原则共识，并就双边经贸问题谅解备忘录进行了具体磋商。双方表示，将根据两国元首确定的磋商期限抓紧工作，努力达成一致。双方商定将于下周在华盛顿继续进行磋商。（来源：wind）</w:t>
            </w:r>
          </w:p>
          <w:p w14:paraId="49352303" w14:textId="77777777" w:rsidR="00C94FA8" w:rsidRPr="00C94FA8" w:rsidRDefault="00C94FA8" w:rsidP="00C94FA8">
            <w:pPr>
              <w:widowControl/>
              <w:spacing w:after="240"/>
              <w:jc w:val="left"/>
              <w:rPr>
                <w:rFonts w:ascii="宋体" w:hAnsi="宋体" w:cs="宋体" w:hint="eastAsia"/>
                <w:kern w:val="0"/>
                <w:sz w:val="24"/>
                <w:szCs w:val="24"/>
              </w:rPr>
            </w:pPr>
            <w:r w:rsidRPr="00C94FA8">
              <w:rPr>
                <w:rFonts w:ascii="宋体" w:hAnsi="宋体" w:cs="宋体" w:hint="eastAsia"/>
                <w:kern w:val="0"/>
                <w:sz w:val="24"/>
                <w:szCs w:val="24"/>
              </w:rPr>
              <w:t>2. 中国发展研究基金会副理事长刘世锦预测，今后两年经济增速将维持在6%以上，2020年以后会下降到5%-6%之间，或5%左右。中国经济新的增长有五大来源，包括低效</w:t>
            </w:r>
            <w:proofErr w:type="gramStart"/>
            <w:r w:rsidRPr="00C94FA8">
              <w:rPr>
                <w:rFonts w:ascii="宋体" w:hAnsi="宋体" w:cs="宋体" w:hint="eastAsia"/>
                <w:kern w:val="0"/>
                <w:sz w:val="24"/>
                <w:szCs w:val="24"/>
              </w:rPr>
              <w:t>率部门</w:t>
            </w:r>
            <w:proofErr w:type="gramEnd"/>
            <w:r w:rsidRPr="00C94FA8">
              <w:rPr>
                <w:rFonts w:ascii="宋体" w:hAnsi="宋体" w:cs="宋体" w:hint="eastAsia"/>
                <w:kern w:val="0"/>
                <w:sz w:val="24"/>
                <w:szCs w:val="24"/>
              </w:rPr>
              <w:t>的改进、低收入阶层的收入增长、消费结构和产业结构升级、前沿创新、绿色发展等。（来源：wind）</w:t>
            </w:r>
          </w:p>
          <w:p w14:paraId="168D1923" w14:textId="77777777" w:rsidR="00C94FA8" w:rsidRDefault="00C94FA8" w:rsidP="00C94FA8">
            <w:pPr>
              <w:widowControl/>
              <w:spacing w:after="240"/>
              <w:jc w:val="left"/>
              <w:rPr>
                <w:rFonts w:ascii="宋体" w:hAnsi="宋体" w:cs="宋体"/>
                <w:kern w:val="0"/>
                <w:sz w:val="24"/>
                <w:szCs w:val="24"/>
              </w:rPr>
            </w:pPr>
            <w:r w:rsidRPr="00C94FA8">
              <w:rPr>
                <w:rFonts w:ascii="宋体" w:hAnsi="宋体" w:cs="宋体" w:hint="eastAsia"/>
                <w:kern w:val="0"/>
                <w:sz w:val="24"/>
                <w:szCs w:val="24"/>
              </w:rPr>
              <w:t>3.社科院学部委员王一鸣称，投资下降的原因一是储蓄率的下降，特别是居民储蓄尤为明显，家庭负债率迅速提升；二是债务和杠杆的快速攀升，宏观杠杆率大幅高于新兴经济体，政府隐性债务巨大，挤压投融资空间；三是民间投资不足，预期不稳；四是房地产市场投资可能会出现明显调整。（来源：wind）</w:t>
            </w:r>
          </w:p>
          <w:p w14:paraId="3E0A0E89" w14:textId="77777777" w:rsidR="00C94FA8" w:rsidRPr="00C94FA8" w:rsidRDefault="00C94FA8" w:rsidP="00C94FA8">
            <w:pPr>
              <w:widowControl/>
              <w:spacing w:after="240"/>
              <w:jc w:val="left"/>
              <w:rPr>
                <w:rFonts w:ascii="宋体" w:hAnsi="宋体" w:cs="宋体" w:hint="eastAsia"/>
                <w:kern w:val="0"/>
                <w:sz w:val="24"/>
                <w:szCs w:val="24"/>
              </w:rPr>
            </w:pPr>
            <w:r w:rsidRPr="00C94FA8">
              <w:rPr>
                <w:rFonts w:ascii="宋体" w:hAnsi="宋体" w:cs="宋体" w:hint="eastAsia"/>
                <w:kern w:val="0"/>
                <w:sz w:val="24"/>
                <w:szCs w:val="24"/>
              </w:rPr>
              <w:t>4、小</w:t>
            </w:r>
            <w:proofErr w:type="gramStart"/>
            <w:r w:rsidRPr="00C94FA8">
              <w:rPr>
                <w:rFonts w:ascii="宋体" w:hAnsi="宋体" w:cs="宋体" w:hint="eastAsia"/>
                <w:kern w:val="0"/>
                <w:sz w:val="24"/>
                <w:szCs w:val="24"/>
              </w:rPr>
              <w:t>微企业</w:t>
            </w:r>
            <w:proofErr w:type="gramEnd"/>
            <w:r w:rsidRPr="00C94FA8">
              <w:rPr>
                <w:rFonts w:ascii="宋体" w:hAnsi="宋体" w:cs="宋体" w:hint="eastAsia"/>
                <w:kern w:val="0"/>
                <w:sz w:val="24"/>
                <w:szCs w:val="24"/>
              </w:rPr>
              <w:t>迎来一系列减税降费“红包”，截至2月14日，已有29个省（区、市）明确小</w:t>
            </w:r>
            <w:proofErr w:type="gramStart"/>
            <w:r w:rsidRPr="00C94FA8">
              <w:rPr>
                <w:rFonts w:ascii="宋体" w:hAnsi="宋体" w:cs="宋体" w:hint="eastAsia"/>
                <w:kern w:val="0"/>
                <w:sz w:val="24"/>
                <w:szCs w:val="24"/>
              </w:rPr>
              <w:t>微企业</w:t>
            </w:r>
            <w:proofErr w:type="gramEnd"/>
            <w:r w:rsidRPr="00C94FA8">
              <w:rPr>
                <w:rFonts w:ascii="宋体" w:hAnsi="宋体" w:cs="宋体" w:hint="eastAsia"/>
                <w:kern w:val="0"/>
                <w:sz w:val="24"/>
                <w:szCs w:val="24"/>
              </w:rPr>
              <w:t>减征资源税、城建税、房产税、城镇土地使用税、印花税（不含证券交易印花税）、耕地占用税和教育费附加、地方教育附加，这“六税两费”按50%幅度顶格减征。（来源：wind）</w:t>
            </w:r>
          </w:p>
          <w:p w14:paraId="22DC67CD" w14:textId="77777777" w:rsidR="00E91428" w:rsidRDefault="00C94FA8" w:rsidP="00C94FA8">
            <w:pPr>
              <w:widowControl/>
              <w:spacing w:after="240"/>
              <w:jc w:val="left"/>
              <w:rPr>
                <w:rFonts w:ascii="宋体" w:hAnsi="宋体" w:cs="宋体"/>
                <w:kern w:val="0"/>
                <w:sz w:val="24"/>
                <w:szCs w:val="24"/>
              </w:rPr>
            </w:pPr>
            <w:r w:rsidRPr="00C94FA8">
              <w:rPr>
                <w:rFonts w:ascii="宋体" w:hAnsi="宋体" w:cs="宋体" w:hint="eastAsia"/>
                <w:kern w:val="0"/>
                <w:sz w:val="24"/>
                <w:szCs w:val="24"/>
              </w:rPr>
              <w:t>5、银保监会正式批准中国工商银行设立理财子公司，并已受理多家商业银行申请，其他多家银行也拟提交申请。这是继建设银行、中国银行、农业银行、交通银行之后，五大国有行理财子公司设立全面获批。业内专家分析，由于2018年四季度理财子公司新</w:t>
            </w:r>
            <w:proofErr w:type="gramStart"/>
            <w:r w:rsidRPr="00C94FA8">
              <w:rPr>
                <w:rFonts w:ascii="宋体" w:hAnsi="宋体" w:cs="宋体" w:hint="eastAsia"/>
                <w:kern w:val="0"/>
                <w:sz w:val="24"/>
                <w:szCs w:val="24"/>
              </w:rPr>
              <w:t>规</w:t>
            </w:r>
            <w:proofErr w:type="gramEnd"/>
            <w:r w:rsidRPr="00C94FA8">
              <w:rPr>
                <w:rFonts w:ascii="宋体" w:hAnsi="宋体" w:cs="宋体" w:hint="eastAsia"/>
                <w:kern w:val="0"/>
                <w:sz w:val="24"/>
                <w:szCs w:val="24"/>
              </w:rPr>
              <w:t>允许直接投资股市，因此这里所说的金融市场显然是包含了股市的，市场普遍期待理财子公司能为股市带来增量资金。（来源：wind）</w:t>
            </w:r>
          </w:p>
        </w:tc>
      </w:tr>
      <w:tr w:rsidR="00E91428" w14:paraId="6F9B5703" w14:textId="77777777">
        <w:trPr>
          <w:trHeight w:val="90"/>
        </w:trPr>
        <w:tc>
          <w:tcPr>
            <w:tcW w:w="9213" w:type="dxa"/>
          </w:tcPr>
          <w:p w14:paraId="5E975B6D" w14:textId="77777777" w:rsidR="00E91428" w:rsidRDefault="00E510D6">
            <w:pPr>
              <w:widowControl/>
              <w:jc w:val="center"/>
              <w:rPr>
                <w:rFonts w:ascii="宋体" w:hAnsi="宋体" w:cs="宋体"/>
                <w:b/>
                <w:kern w:val="0"/>
                <w:sz w:val="24"/>
                <w:szCs w:val="24"/>
              </w:rPr>
            </w:pPr>
            <w:r>
              <w:rPr>
                <w:rFonts w:ascii="宋体" w:hAnsi="宋体" w:cs="宋体" w:hint="eastAsia"/>
                <w:b/>
                <w:kern w:val="0"/>
                <w:sz w:val="24"/>
                <w:szCs w:val="24"/>
              </w:rPr>
              <w:t>黑色产业链</w:t>
            </w:r>
          </w:p>
        </w:tc>
      </w:tr>
      <w:tr w:rsidR="00E91428" w14:paraId="24BF0296" w14:textId="77777777">
        <w:trPr>
          <w:trHeight w:val="90"/>
        </w:trPr>
        <w:tc>
          <w:tcPr>
            <w:tcW w:w="9213" w:type="dxa"/>
          </w:tcPr>
          <w:p w14:paraId="3565F5F1"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、据中国海关数据统计，</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1</w:t>
            </w:r>
            <w:r>
              <w:rPr>
                <w:rFonts w:ascii="宋体" w:hAnsi="宋体" w:cs="宋体" w:hint="eastAsia"/>
                <w:kern w:val="0"/>
                <w:sz w:val="24"/>
                <w:szCs w:val="24"/>
              </w:rPr>
              <w:t>月中国铁矿石进口总量</w:t>
            </w:r>
            <w:r>
              <w:rPr>
                <w:rFonts w:ascii="宋体" w:hAnsi="宋体" w:cs="宋体" w:hint="eastAsia"/>
                <w:kern w:val="0"/>
                <w:sz w:val="24"/>
                <w:szCs w:val="24"/>
              </w:rPr>
              <w:t>9126.4</w:t>
            </w:r>
            <w:r>
              <w:rPr>
                <w:rFonts w:ascii="宋体" w:hAnsi="宋体" w:cs="宋体" w:hint="eastAsia"/>
                <w:kern w:val="0"/>
                <w:sz w:val="24"/>
                <w:szCs w:val="24"/>
              </w:rPr>
              <w:t>万吨，环比去年</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8664.8</w:t>
            </w:r>
            <w:r>
              <w:rPr>
                <w:rFonts w:ascii="宋体" w:hAnsi="宋体" w:cs="宋体" w:hint="eastAsia"/>
                <w:kern w:val="0"/>
                <w:sz w:val="24"/>
                <w:szCs w:val="24"/>
              </w:rPr>
              <w:t>万吨增加</w:t>
            </w:r>
            <w:r>
              <w:rPr>
                <w:rFonts w:ascii="宋体" w:hAnsi="宋体" w:cs="宋体" w:hint="eastAsia"/>
                <w:kern w:val="0"/>
                <w:sz w:val="24"/>
                <w:szCs w:val="24"/>
              </w:rPr>
              <w:t>461.6</w:t>
            </w:r>
            <w:r>
              <w:rPr>
                <w:rFonts w:ascii="宋体" w:hAnsi="宋体" w:cs="宋体" w:hint="eastAsia"/>
                <w:kern w:val="0"/>
                <w:sz w:val="24"/>
                <w:szCs w:val="24"/>
              </w:rPr>
              <w:t>万吨，增幅</w:t>
            </w:r>
            <w:r>
              <w:rPr>
                <w:rFonts w:ascii="宋体" w:hAnsi="宋体" w:cs="宋体" w:hint="eastAsia"/>
                <w:kern w:val="0"/>
                <w:sz w:val="24"/>
                <w:szCs w:val="24"/>
              </w:rPr>
              <w:t>5.3%</w:t>
            </w:r>
            <w:r>
              <w:rPr>
                <w:rFonts w:ascii="宋体" w:hAnsi="宋体" w:cs="宋体" w:hint="eastAsia"/>
                <w:kern w:val="0"/>
                <w:sz w:val="24"/>
                <w:szCs w:val="24"/>
              </w:rPr>
              <w:t>；较去年同期的</w:t>
            </w:r>
            <w:r>
              <w:rPr>
                <w:rFonts w:ascii="宋体" w:hAnsi="宋体" w:cs="宋体" w:hint="eastAsia"/>
                <w:kern w:val="0"/>
                <w:sz w:val="24"/>
                <w:szCs w:val="24"/>
              </w:rPr>
              <w:t>10044.5</w:t>
            </w:r>
            <w:r>
              <w:rPr>
                <w:rFonts w:ascii="宋体" w:hAnsi="宋体" w:cs="宋体" w:hint="eastAsia"/>
                <w:kern w:val="0"/>
                <w:sz w:val="24"/>
                <w:szCs w:val="24"/>
              </w:rPr>
              <w:t>万吨减少</w:t>
            </w:r>
            <w:r>
              <w:rPr>
                <w:rFonts w:ascii="宋体" w:hAnsi="宋体" w:cs="宋体" w:hint="eastAsia"/>
                <w:kern w:val="0"/>
                <w:sz w:val="24"/>
                <w:szCs w:val="24"/>
              </w:rPr>
              <w:t>918</w:t>
            </w:r>
            <w:r>
              <w:rPr>
                <w:rFonts w:ascii="宋体" w:hAnsi="宋体" w:cs="宋体" w:hint="eastAsia"/>
                <w:kern w:val="0"/>
                <w:sz w:val="24"/>
                <w:szCs w:val="24"/>
              </w:rPr>
              <w:t>万吨，降幅</w:t>
            </w:r>
            <w:r>
              <w:rPr>
                <w:rFonts w:ascii="宋体" w:hAnsi="宋体" w:cs="宋体" w:hint="eastAsia"/>
                <w:kern w:val="0"/>
                <w:sz w:val="24"/>
                <w:szCs w:val="24"/>
              </w:rPr>
              <w:t>9.1%</w:t>
            </w:r>
            <w:r>
              <w:rPr>
                <w:rFonts w:ascii="宋体" w:hAnsi="宋体" w:cs="宋体" w:hint="eastAsia"/>
                <w:kern w:val="0"/>
                <w:sz w:val="24"/>
                <w:szCs w:val="24"/>
              </w:rPr>
              <w:t>。</w:t>
            </w:r>
            <w:r>
              <w:rPr>
                <w:rFonts w:ascii="宋体" w:hAnsi="宋体" w:cs="宋体"/>
                <w:kern w:val="0"/>
                <w:sz w:val="24"/>
                <w:szCs w:val="24"/>
              </w:rPr>
              <w:t>(</w:t>
            </w:r>
            <w:r>
              <w:rPr>
                <w:rFonts w:ascii="宋体" w:hAnsi="宋体" w:cs="宋体"/>
                <w:kern w:val="0"/>
                <w:sz w:val="24"/>
                <w:szCs w:val="24"/>
              </w:rPr>
              <w:t>我的</w:t>
            </w:r>
            <w:proofErr w:type="gramStart"/>
            <w:r>
              <w:rPr>
                <w:rFonts w:ascii="宋体" w:hAnsi="宋体" w:cs="宋体"/>
                <w:kern w:val="0"/>
                <w:sz w:val="24"/>
                <w:szCs w:val="24"/>
              </w:rPr>
              <w:t>钢铁网</w:t>
            </w:r>
            <w:proofErr w:type="gramEnd"/>
            <w:r>
              <w:rPr>
                <w:rFonts w:ascii="宋体" w:hAnsi="宋体" w:cs="宋体"/>
                <w:kern w:val="0"/>
                <w:sz w:val="24"/>
                <w:szCs w:val="24"/>
              </w:rPr>
              <w:t>)</w:t>
            </w:r>
          </w:p>
          <w:p w14:paraId="2398EF1A" w14:textId="77777777" w:rsidR="00E91428" w:rsidRDefault="00E510D6">
            <w:pPr>
              <w:widowControl/>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w:t>
            </w:r>
            <w:proofErr w:type="spellStart"/>
            <w:r>
              <w:rPr>
                <w:rFonts w:ascii="宋体" w:hAnsi="宋体" w:cs="宋体" w:hint="eastAsia"/>
                <w:kern w:val="0"/>
                <w:sz w:val="24"/>
                <w:szCs w:val="24"/>
              </w:rPr>
              <w:t>Mysteel</w:t>
            </w:r>
            <w:proofErr w:type="spellEnd"/>
            <w:r>
              <w:rPr>
                <w:rFonts w:ascii="宋体" w:hAnsi="宋体" w:cs="宋体" w:hint="eastAsia"/>
                <w:kern w:val="0"/>
                <w:sz w:val="24"/>
                <w:szCs w:val="24"/>
              </w:rPr>
              <w:t>山东讯：根据当前煤焦</w:t>
            </w:r>
            <w:proofErr w:type="gramStart"/>
            <w:r>
              <w:rPr>
                <w:rFonts w:ascii="宋体" w:hAnsi="宋体" w:cs="宋体" w:hint="eastAsia"/>
                <w:kern w:val="0"/>
                <w:sz w:val="24"/>
                <w:szCs w:val="24"/>
              </w:rPr>
              <w:t>钢市场</w:t>
            </w:r>
            <w:proofErr w:type="gramEnd"/>
            <w:r>
              <w:rPr>
                <w:rFonts w:ascii="宋体" w:hAnsi="宋体" w:cs="宋体" w:hint="eastAsia"/>
                <w:kern w:val="0"/>
                <w:sz w:val="24"/>
                <w:szCs w:val="24"/>
              </w:rPr>
              <w:t>变化现状，自</w:t>
            </w:r>
            <w:r>
              <w:rPr>
                <w:rFonts w:ascii="宋体" w:hAnsi="宋体" w:cs="宋体" w:hint="eastAsia"/>
                <w:kern w:val="0"/>
                <w:sz w:val="24"/>
                <w:szCs w:val="24"/>
              </w:rPr>
              <w:t>2</w:t>
            </w:r>
            <w:r>
              <w:rPr>
                <w:rFonts w:ascii="宋体" w:hAnsi="宋体" w:cs="宋体" w:hint="eastAsia"/>
                <w:kern w:val="0"/>
                <w:sz w:val="24"/>
                <w:szCs w:val="24"/>
              </w:rPr>
              <w:t>月</w:t>
            </w:r>
            <w:r>
              <w:rPr>
                <w:rFonts w:ascii="宋体" w:hAnsi="宋体" w:cs="宋体" w:hint="eastAsia"/>
                <w:kern w:val="0"/>
                <w:sz w:val="24"/>
                <w:szCs w:val="24"/>
              </w:rPr>
              <w:t>14</w:t>
            </w:r>
            <w:r>
              <w:rPr>
                <w:rFonts w:ascii="宋体" w:hAnsi="宋体" w:cs="宋体" w:hint="eastAsia"/>
                <w:kern w:val="0"/>
                <w:sz w:val="24"/>
                <w:szCs w:val="24"/>
              </w:rPr>
              <w:t>日零时起，淄博、潍坊、滨州、临沂、聊城、济宁等地区焦炭生产企业冶金焦出厂价</w:t>
            </w:r>
            <w:proofErr w:type="gramStart"/>
            <w:r>
              <w:rPr>
                <w:rFonts w:ascii="宋体" w:hAnsi="宋体" w:cs="宋体" w:hint="eastAsia"/>
                <w:kern w:val="0"/>
                <w:sz w:val="24"/>
                <w:szCs w:val="24"/>
              </w:rPr>
              <w:t>均提涨</w:t>
            </w:r>
            <w:r>
              <w:rPr>
                <w:rFonts w:ascii="宋体" w:hAnsi="宋体" w:cs="宋体" w:hint="eastAsia"/>
                <w:kern w:val="0"/>
                <w:sz w:val="24"/>
                <w:szCs w:val="24"/>
              </w:rPr>
              <w:t>100</w:t>
            </w:r>
            <w:r>
              <w:rPr>
                <w:rFonts w:ascii="宋体" w:hAnsi="宋体" w:cs="宋体" w:hint="eastAsia"/>
                <w:kern w:val="0"/>
                <w:sz w:val="24"/>
                <w:szCs w:val="24"/>
              </w:rPr>
              <w:t>元</w:t>
            </w:r>
            <w:proofErr w:type="gramEnd"/>
            <w:r>
              <w:rPr>
                <w:rFonts w:ascii="宋体" w:hAnsi="宋体" w:cs="宋体" w:hint="eastAsia"/>
                <w:kern w:val="0"/>
                <w:sz w:val="24"/>
                <w:szCs w:val="24"/>
              </w:rPr>
              <w:t>/</w:t>
            </w:r>
            <w:r>
              <w:rPr>
                <w:rFonts w:ascii="宋体" w:hAnsi="宋体" w:cs="宋体" w:hint="eastAsia"/>
                <w:kern w:val="0"/>
                <w:sz w:val="24"/>
                <w:szCs w:val="24"/>
              </w:rPr>
              <w:t>吨。上调后，一级焦出厂价</w:t>
            </w:r>
            <w:r>
              <w:rPr>
                <w:rFonts w:ascii="宋体" w:hAnsi="宋体" w:cs="宋体" w:hint="eastAsia"/>
                <w:kern w:val="0"/>
                <w:sz w:val="24"/>
                <w:szCs w:val="24"/>
              </w:rPr>
              <w:t>2140</w:t>
            </w:r>
            <w:r>
              <w:rPr>
                <w:rFonts w:ascii="宋体" w:hAnsi="宋体" w:cs="宋体" w:hint="eastAsia"/>
                <w:kern w:val="0"/>
                <w:sz w:val="24"/>
                <w:szCs w:val="24"/>
              </w:rPr>
              <w:t>元</w:t>
            </w:r>
            <w:r>
              <w:rPr>
                <w:rFonts w:ascii="宋体" w:hAnsi="宋体" w:cs="宋体" w:hint="eastAsia"/>
                <w:kern w:val="0"/>
                <w:sz w:val="24"/>
                <w:szCs w:val="24"/>
              </w:rPr>
              <w:t>/</w:t>
            </w:r>
            <w:r>
              <w:rPr>
                <w:rFonts w:ascii="宋体" w:hAnsi="宋体" w:cs="宋体" w:hint="eastAsia"/>
                <w:kern w:val="0"/>
                <w:sz w:val="24"/>
                <w:szCs w:val="24"/>
              </w:rPr>
              <w:t>吨，二级焦出厂价</w:t>
            </w:r>
            <w:r>
              <w:rPr>
                <w:rFonts w:ascii="宋体" w:hAnsi="宋体" w:cs="宋体" w:hint="eastAsia"/>
                <w:kern w:val="0"/>
                <w:sz w:val="24"/>
                <w:szCs w:val="24"/>
              </w:rPr>
              <w:t>2040</w:t>
            </w:r>
            <w:r>
              <w:rPr>
                <w:rFonts w:ascii="宋体" w:hAnsi="宋体" w:cs="宋体" w:hint="eastAsia"/>
                <w:kern w:val="0"/>
                <w:sz w:val="24"/>
                <w:szCs w:val="24"/>
              </w:rPr>
              <w:t>元</w:t>
            </w:r>
            <w:r>
              <w:rPr>
                <w:rFonts w:ascii="宋体" w:hAnsi="宋体" w:cs="宋体" w:hint="eastAsia"/>
                <w:kern w:val="0"/>
                <w:sz w:val="24"/>
                <w:szCs w:val="24"/>
              </w:rPr>
              <w:t>/</w:t>
            </w:r>
            <w:r>
              <w:rPr>
                <w:rFonts w:ascii="宋体" w:hAnsi="宋体" w:cs="宋体" w:hint="eastAsia"/>
                <w:kern w:val="0"/>
                <w:sz w:val="24"/>
                <w:szCs w:val="24"/>
              </w:rPr>
              <w:t>吨。山东其他地区焦炭生产企业可参照当地价格</w:t>
            </w:r>
            <w:proofErr w:type="gramStart"/>
            <w:r>
              <w:rPr>
                <w:rFonts w:ascii="宋体" w:hAnsi="宋体" w:cs="宋体" w:hint="eastAsia"/>
                <w:kern w:val="0"/>
                <w:sz w:val="24"/>
                <w:szCs w:val="24"/>
              </w:rPr>
              <w:t>同步提涨</w:t>
            </w:r>
            <w:r>
              <w:rPr>
                <w:rFonts w:ascii="宋体" w:hAnsi="宋体" w:cs="宋体" w:hint="eastAsia"/>
                <w:kern w:val="0"/>
                <w:sz w:val="24"/>
                <w:szCs w:val="24"/>
              </w:rPr>
              <w:t>100</w:t>
            </w:r>
            <w:r>
              <w:rPr>
                <w:rFonts w:ascii="宋体" w:hAnsi="宋体" w:cs="宋体" w:hint="eastAsia"/>
                <w:kern w:val="0"/>
                <w:sz w:val="24"/>
                <w:szCs w:val="24"/>
              </w:rPr>
              <w:t>元</w:t>
            </w:r>
            <w:proofErr w:type="gramEnd"/>
            <w:r>
              <w:rPr>
                <w:rFonts w:ascii="宋体" w:hAnsi="宋体" w:cs="宋体" w:hint="eastAsia"/>
                <w:kern w:val="0"/>
                <w:sz w:val="24"/>
                <w:szCs w:val="24"/>
              </w:rPr>
              <w:t>/</w:t>
            </w:r>
            <w:r>
              <w:rPr>
                <w:rFonts w:ascii="宋体" w:hAnsi="宋体" w:cs="宋体" w:hint="eastAsia"/>
                <w:kern w:val="0"/>
                <w:sz w:val="24"/>
                <w:szCs w:val="24"/>
              </w:rPr>
              <w:t>吨。</w:t>
            </w:r>
            <w:r>
              <w:rPr>
                <w:rFonts w:ascii="宋体" w:hAnsi="宋体" w:cs="宋体"/>
                <w:kern w:val="0"/>
                <w:sz w:val="24"/>
                <w:szCs w:val="24"/>
              </w:rPr>
              <w:t>(</w:t>
            </w:r>
            <w:r>
              <w:rPr>
                <w:rFonts w:ascii="宋体" w:hAnsi="宋体" w:cs="宋体"/>
                <w:kern w:val="0"/>
                <w:sz w:val="24"/>
                <w:szCs w:val="24"/>
              </w:rPr>
              <w:t>我的</w:t>
            </w:r>
            <w:proofErr w:type="gramStart"/>
            <w:r>
              <w:rPr>
                <w:rFonts w:ascii="宋体" w:hAnsi="宋体" w:cs="宋体"/>
                <w:kern w:val="0"/>
                <w:sz w:val="24"/>
                <w:szCs w:val="24"/>
              </w:rPr>
              <w:t>钢铁网</w:t>
            </w:r>
            <w:proofErr w:type="gramEnd"/>
            <w:r>
              <w:rPr>
                <w:rFonts w:ascii="宋体" w:hAnsi="宋体" w:cs="宋体"/>
                <w:kern w:val="0"/>
                <w:sz w:val="24"/>
                <w:szCs w:val="24"/>
              </w:rPr>
              <w:t>)</w:t>
            </w:r>
          </w:p>
          <w:p w14:paraId="3D197609"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、【山西立恒钢铁产能置换新建</w:t>
            </w:r>
            <w:r>
              <w:rPr>
                <w:rFonts w:ascii="宋体" w:hAnsi="宋体" w:cs="宋体" w:hint="eastAsia"/>
                <w:kern w:val="0"/>
                <w:sz w:val="24"/>
                <w:szCs w:val="24"/>
              </w:rPr>
              <w:t>2</w:t>
            </w:r>
            <w:r>
              <w:rPr>
                <w:rFonts w:ascii="宋体" w:hAnsi="宋体" w:cs="宋体" w:hint="eastAsia"/>
                <w:kern w:val="0"/>
                <w:sz w:val="24"/>
                <w:szCs w:val="24"/>
              </w:rPr>
              <w:t>座</w:t>
            </w:r>
            <w:r>
              <w:rPr>
                <w:rFonts w:ascii="宋体" w:hAnsi="宋体" w:cs="宋体" w:hint="eastAsia"/>
                <w:kern w:val="0"/>
                <w:sz w:val="24"/>
                <w:szCs w:val="24"/>
              </w:rPr>
              <w:t>1860m</w:t>
            </w:r>
            <w:r>
              <w:rPr>
                <w:rFonts w:ascii="宋体" w:hAnsi="宋体" w:cs="宋体" w:hint="eastAsia"/>
                <w:kern w:val="0"/>
                <w:sz w:val="24"/>
                <w:szCs w:val="24"/>
              </w:rPr>
              <w:t>³高炉，预计</w:t>
            </w:r>
            <w:r>
              <w:rPr>
                <w:rFonts w:ascii="宋体" w:hAnsi="宋体" w:cs="宋体" w:hint="eastAsia"/>
                <w:kern w:val="0"/>
                <w:sz w:val="24"/>
                <w:szCs w:val="24"/>
              </w:rPr>
              <w:t>7</w:t>
            </w:r>
            <w:r>
              <w:rPr>
                <w:rFonts w:ascii="宋体" w:hAnsi="宋体" w:cs="宋体" w:hint="eastAsia"/>
                <w:kern w:val="0"/>
                <w:sz w:val="24"/>
                <w:szCs w:val="24"/>
              </w:rPr>
              <w:t>月起陆续投产】</w:t>
            </w:r>
            <w:proofErr w:type="gramStart"/>
            <w:r>
              <w:rPr>
                <w:rFonts w:ascii="宋体" w:hAnsi="宋体" w:cs="宋体" w:hint="eastAsia"/>
                <w:kern w:val="0"/>
                <w:sz w:val="24"/>
                <w:szCs w:val="24"/>
              </w:rPr>
              <w:t>据卓钢</w:t>
            </w:r>
            <w:proofErr w:type="gramEnd"/>
            <w:r>
              <w:rPr>
                <w:rFonts w:ascii="宋体" w:hAnsi="宋体" w:cs="宋体" w:hint="eastAsia"/>
                <w:kern w:val="0"/>
                <w:sz w:val="24"/>
                <w:szCs w:val="24"/>
              </w:rPr>
              <w:t>了解，山西晋南钢铁（由</w:t>
            </w:r>
            <w:proofErr w:type="gramStart"/>
            <w:r>
              <w:rPr>
                <w:rFonts w:ascii="宋体" w:hAnsi="宋体" w:cs="宋体" w:hint="eastAsia"/>
                <w:kern w:val="0"/>
                <w:sz w:val="24"/>
                <w:szCs w:val="24"/>
              </w:rPr>
              <w:t>山西立恒钢铁</w:t>
            </w:r>
            <w:proofErr w:type="gramEnd"/>
            <w:r>
              <w:rPr>
                <w:rFonts w:ascii="宋体" w:hAnsi="宋体" w:cs="宋体" w:hint="eastAsia"/>
                <w:kern w:val="0"/>
                <w:sz w:val="24"/>
                <w:szCs w:val="24"/>
              </w:rPr>
              <w:t>和山西星原集团重组）通过产能置换的两座</w:t>
            </w:r>
            <w:r>
              <w:rPr>
                <w:rFonts w:ascii="宋体" w:hAnsi="宋体" w:cs="宋体" w:hint="eastAsia"/>
                <w:kern w:val="0"/>
                <w:sz w:val="24"/>
                <w:szCs w:val="24"/>
              </w:rPr>
              <w:t>1860m</w:t>
            </w:r>
            <w:r>
              <w:rPr>
                <w:rFonts w:ascii="宋体" w:hAnsi="宋体" w:cs="宋体" w:hint="eastAsia"/>
                <w:kern w:val="0"/>
                <w:sz w:val="24"/>
                <w:szCs w:val="24"/>
              </w:rPr>
              <w:t>³高炉近期开工建设，其中一座预计于</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7</w:t>
            </w:r>
            <w:r>
              <w:rPr>
                <w:rFonts w:ascii="宋体" w:hAnsi="宋体" w:cs="宋体" w:hint="eastAsia"/>
                <w:kern w:val="0"/>
                <w:sz w:val="24"/>
                <w:szCs w:val="24"/>
              </w:rPr>
              <w:t>月完工并投产，另一座计划于</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9</w:t>
            </w:r>
            <w:r>
              <w:rPr>
                <w:rFonts w:ascii="宋体" w:hAnsi="宋体" w:cs="宋体" w:hint="eastAsia"/>
                <w:kern w:val="0"/>
                <w:sz w:val="24"/>
                <w:szCs w:val="24"/>
              </w:rPr>
              <w:t>月完工投产，</w:t>
            </w:r>
            <w:proofErr w:type="gramStart"/>
            <w:r>
              <w:rPr>
                <w:rFonts w:ascii="宋体" w:hAnsi="宋体" w:cs="宋体" w:hint="eastAsia"/>
                <w:kern w:val="0"/>
                <w:sz w:val="24"/>
                <w:szCs w:val="24"/>
              </w:rPr>
              <w:t>本网将</w:t>
            </w:r>
            <w:proofErr w:type="gramEnd"/>
            <w:r>
              <w:rPr>
                <w:rFonts w:ascii="宋体" w:hAnsi="宋体" w:cs="宋体" w:hint="eastAsia"/>
                <w:kern w:val="0"/>
                <w:sz w:val="24"/>
                <w:szCs w:val="24"/>
              </w:rPr>
              <w:t>持续跟进报道。【卓钢快讯】</w:t>
            </w:r>
            <w:r>
              <w:rPr>
                <w:rFonts w:ascii="宋体" w:hAnsi="宋体" w:cs="宋体" w:hint="eastAsia"/>
                <w:kern w:val="0"/>
                <w:sz w:val="24"/>
                <w:szCs w:val="24"/>
              </w:rPr>
              <w:t xml:space="preserve"> </w:t>
            </w:r>
          </w:p>
          <w:p w14:paraId="14D21CF3" w14:textId="77777777" w:rsidR="00E91428" w:rsidRDefault="00E510D6">
            <w:pPr>
              <w:widowControl/>
              <w:jc w:val="left"/>
              <w:rPr>
                <w:rFonts w:ascii="宋体" w:hAnsi="宋体" w:cs="宋体"/>
                <w:kern w:val="0"/>
                <w:sz w:val="24"/>
                <w:szCs w:val="24"/>
              </w:rPr>
            </w:pPr>
            <w:r>
              <w:rPr>
                <w:rFonts w:ascii="宋体" w:hAnsi="宋体" w:cs="宋体"/>
                <w:kern w:val="0"/>
                <w:sz w:val="24"/>
                <w:szCs w:val="24"/>
              </w:rPr>
              <w:t>4</w:t>
            </w:r>
            <w:r>
              <w:rPr>
                <w:rFonts w:ascii="宋体" w:hAnsi="宋体" w:cs="宋体"/>
                <w:kern w:val="0"/>
                <w:sz w:val="24"/>
                <w:szCs w:val="24"/>
              </w:rPr>
              <w:t>、</w:t>
            </w:r>
            <w:r>
              <w:rPr>
                <w:rFonts w:ascii="宋体" w:hAnsi="宋体" w:cs="宋体" w:hint="eastAsia"/>
                <w:kern w:val="0"/>
                <w:sz w:val="24"/>
                <w:szCs w:val="24"/>
              </w:rPr>
              <w:t>【淡水河谷减产，高盛上调铁矿石预期】高盛将</w:t>
            </w:r>
            <w:r>
              <w:rPr>
                <w:rFonts w:ascii="宋体" w:hAnsi="宋体" w:cs="宋体" w:hint="eastAsia"/>
                <w:kern w:val="0"/>
                <w:sz w:val="24"/>
                <w:szCs w:val="24"/>
              </w:rPr>
              <w:t>3</w:t>
            </w:r>
            <w:r>
              <w:rPr>
                <w:rFonts w:ascii="宋体" w:hAnsi="宋体" w:cs="宋体" w:hint="eastAsia"/>
                <w:kern w:val="0"/>
                <w:sz w:val="24"/>
                <w:szCs w:val="24"/>
              </w:rPr>
              <w:t>个月铁矿石价格预期由</w:t>
            </w:r>
            <w:r>
              <w:rPr>
                <w:rFonts w:ascii="宋体" w:hAnsi="宋体" w:cs="宋体" w:hint="eastAsia"/>
                <w:kern w:val="0"/>
                <w:sz w:val="24"/>
                <w:szCs w:val="24"/>
              </w:rPr>
              <w:t>70</w:t>
            </w:r>
            <w:r>
              <w:rPr>
                <w:rFonts w:ascii="宋体" w:hAnsi="宋体" w:cs="宋体" w:hint="eastAsia"/>
                <w:kern w:val="0"/>
                <w:sz w:val="24"/>
                <w:szCs w:val="24"/>
              </w:rPr>
              <w:t>美元</w:t>
            </w:r>
            <w:r>
              <w:rPr>
                <w:rFonts w:ascii="宋体" w:hAnsi="宋体" w:cs="宋体" w:hint="eastAsia"/>
                <w:kern w:val="0"/>
                <w:sz w:val="24"/>
                <w:szCs w:val="24"/>
              </w:rPr>
              <w:t>/</w:t>
            </w:r>
            <w:r>
              <w:rPr>
                <w:rFonts w:ascii="宋体" w:hAnsi="宋体" w:cs="宋体" w:hint="eastAsia"/>
                <w:kern w:val="0"/>
                <w:sz w:val="24"/>
                <w:szCs w:val="24"/>
              </w:rPr>
              <w:lastRenderedPageBreak/>
              <w:t>吨上调至</w:t>
            </w:r>
            <w:r>
              <w:rPr>
                <w:rFonts w:ascii="宋体" w:hAnsi="宋体" w:cs="宋体" w:hint="eastAsia"/>
                <w:kern w:val="0"/>
                <w:sz w:val="24"/>
                <w:szCs w:val="24"/>
              </w:rPr>
              <w:t>80</w:t>
            </w:r>
            <w:r>
              <w:rPr>
                <w:rFonts w:ascii="宋体" w:hAnsi="宋体" w:cs="宋体" w:hint="eastAsia"/>
                <w:kern w:val="0"/>
                <w:sz w:val="24"/>
                <w:szCs w:val="24"/>
              </w:rPr>
              <w:t>美元</w:t>
            </w:r>
            <w:r>
              <w:rPr>
                <w:rFonts w:ascii="宋体" w:hAnsi="宋体" w:cs="宋体" w:hint="eastAsia"/>
                <w:kern w:val="0"/>
                <w:sz w:val="24"/>
                <w:szCs w:val="24"/>
              </w:rPr>
              <w:t>/</w:t>
            </w:r>
            <w:r>
              <w:rPr>
                <w:rFonts w:ascii="宋体" w:hAnsi="宋体" w:cs="宋体" w:hint="eastAsia"/>
                <w:kern w:val="0"/>
                <w:sz w:val="24"/>
                <w:szCs w:val="24"/>
              </w:rPr>
              <w:t>吨，将</w:t>
            </w:r>
            <w:r>
              <w:rPr>
                <w:rFonts w:ascii="宋体" w:hAnsi="宋体" w:cs="宋体" w:hint="eastAsia"/>
                <w:kern w:val="0"/>
                <w:sz w:val="24"/>
                <w:szCs w:val="24"/>
              </w:rPr>
              <w:t>6</w:t>
            </w:r>
            <w:r>
              <w:rPr>
                <w:rFonts w:ascii="宋体" w:hAnsi="宋体" w:cs="宋体" w:hint="eastAsia"/>
                <w:kern w:val="0"/>
                <w:sz w:val="24"/>
                <w:szCs w:val="24"/>
              </w:rPr>
              <w:t>个月价格预期由</w:t>
            </w:r>
            <w:r>
              <w:rPr>
                <w:rFonts w:ascii="宋体" w:hAnsi="宋体" w:cs="宋体" w:hint="eastAsia"/>
                <w:kern w:val="0"/>
                <w:sz w:val="24"/>
                <w:szCs w:val="24"/>
              </w:rPr>
              <w:t>60</w:t>
            </w:r>
            <w:r>
              <w:rPr>
                <w:rFonts w:ascii="宋体" w:hAnsi="宋体" w:cs="宋体" w:hint="eastAsia"/>
                <w:kern w:val="0"/>
                <w:sz w:val="24"/>
                <w:szCs w:val="24"/>
              </w:rPr>
              <w:t>美元</w:t>
            </w:r>
            <w:r>
              <w:rPr>
                <w:rFonts w:ascii="宋体" w:hAnsi="宋体" w:cs="宋体" w:hint="eastAsia"/>
                <w:kern w:val="0"/>
                <w:sz w:val="24"/>
                <w:szCs w:val="24"/>
              </w:rPr>
              <w:t>/</w:t>
            </w:r>
            <w:r>
              <w:rPr>
                <w:rFonts w:ascii="宋体" w:hAnsi="宋体" w:cs="宋体" w:hint="eastAsia"/>
                <w:kern w:val="0"/>
                <w:sz w:val="24"/>
                <w:szCs w:val="24"/>
              </w:rPr>
              <w:t>吨上调至</w:t>
            </w:r>
            <w:r>
              <w:rPr>
                <w:rFonts w:ascii="宋体" w:hAnsi="宋体" w:cs="宋体" w:hint="eastAsia"/>
                <w:kern w:val="0"/>
                <w:sz w:val="24"/>
                <w:szCs w:val="24"/>
              </w:rPr>
              <w:t>70</w:t>
            </w:r>
            <w:r>
              <w:rPr>
                <w:rFonts w:ascii="宋体" w:hAnsi="宋体" w:cs="宋体" w:hint="eastAsia"/>
                <w:kern w:val="0"/>
                <w:sz w:val="24"/>
                <w:szCs w:val="24"/>
              </w:rPr>
              <w:t>美元</w:t>
            </w:r>
            <w:r>
              <w:rPr>
                <w:rFonts w:ascii="宋体" w:hAnsi="宋体" w:cs="宋体" w:hint="eastAsia"/>
                <w:kern w:val="0"/>
                <w:sz w:val="24"/>
                <w:szCs w:val="24"/>
              </w:rPr>
              <w:t>/</w:t>
            </w:r>
            <w:r>
              <w:rPr>
                <w:rFonts w:ascii="宋体" w:hAnsi="宋体" w:cs="宋体" w:hint="eastAsia"/>
                <w:kern w:val="0"/>
                <w:sz w:val="24"/>
                <w:szCs w:val="24"/>
              </w:rPr>
              <w:t>吨；预计淡水河谷实际铁矿石产量变动不到</w:t>
            </w:r>
            <w:r>
              <w:rPr>
                <w:rFonts w:ascii="宋体" w:hAnsi="宋体" w:cs="宋体" w:hint="eastAsia"/>
                <w:kern w:val="0"/>
                <w:sz w:val="24"/>
                <w:szCs w:val="24"/>
              </w:rPr>
              <w:t>4000</w:t>
            </w:r>
            <w:r>
              <w:rPr>
                <w:rFonts w:ascii="宋体" w:hAnsi="宋体" w:cs="宋体" w:hint="eastAsia"/>
                <w:kern w:val="0"/>
                <w:sz w:val="24"/>
                <w:szCs w:val="24"/>
              </w:rPr>
              <w:t>万吨，预计净变动为下降</w:t>
            </w:r>
            <w:r>
              <w:rPr>
                <w:rFonts w:ascii="宋体" w:hAnsi="宋体" w:cs="宋体" w:hint="eastAsia"/>
                <w:kern w:val="0"/>
                <w:sz w:val="24"/>
                <w:szCs w:val="24"/>
              </w:rPr>
              <w:t>100</w:t>
            </w:r>
            <w:r>
              <w:rPr>
                <w:rFonts w:ascii="宋体" w:hAnsi="宋体" w:cs="宋体" w:hint="eastAsia"/>
                <w:kern w:val="0"/>
                <w:sz w:val="24"/>
                <w:szCs w:val="24"/>
              </w:rPr>
              <w:t>0</w:t>
            </w:r>
            <w:r>
              <w:rPr>
                <w:rFonts w:ascii="宋体" w:hAnsi="宋体" w:cs="宋体" w:hint="eastAsia"/>
                <w:kern w:val="0"/>
                <w:sz w:val="24"/>
                <w:szCs w:val="24"/>
              </w:rPr>
              <w:t>至</w:t>
            </w:r>
            <w:r>
              <w:rPr>
                <w:rFonts w:ascii="宋体" w:hAnsi="宋体" w:cs="宋体" w:hint="eastAsia"/>
                <w:kern w:val="0"/>
                <w:sz w:val="24"/>
                <w:szCs w:val="24"/>
              </w:rPr>
              <w:t>1500</w:t>
            </w:r>
            <w:r>
              <w:rPr>
                <w:rFonts w:ascii="宋体" w:hAnsi="宋体" w:cs="宋体" w:hint="eastAsia"/>
                <w:kern w:val="0"/>
                <w:sz w:val="24"/>
                <w:szCs w:val="24"/>
              </w:rPr>
              <w:t>万吨。</w:t>
            </w:r>
            <w:r>
              <w:rPr>
                <w:rFonts w:ascii="宋体" w:hAnsi="宋体" w:cs="宋体"/>
                <w:kern w:val="0"/>
                <w:sz w:val="24"/>
                <w:szCs w:val="24"/>
              </w:rPr>
              <w:t>（财联社）</w:t>
            </w:r>
          </w:p>
          <w:p w14:paraId="5BAD5C69" w14:textId="77777777" w:rsidR="00E91428" w:rsidRDefault="00E510D6">
            <w:pPr>
              <w:widowControl/>
              <w:jc w:val="left"/>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、据</w:t>
            </w:r>
            <w:proofErr w:type="spellStart"/>
            <w:r>
              <w:rPr>
                <w:rFonts w:ascii="宋体" w:hAnsi="宋体" w:cs="宋体" w:hint="eastAsia"/>
                <w:kern w:val="0"/>
                <w:sz w:val="24"/>
                <w:szCs w:val="24"/>
              </w:rPr>
              <w:t>Mysteel</w:t>
            </w:r>
            <w:proofErr w:type="spellEnd"/>
            <w:r>
              <w:rPr>
                <w:rFonts w:ascii="宋体" w:hAnsi="宋体" w:cs="宋体" w:hint="eastAsia"/>
                <w:kern w:val="0"/>
                <w:sz w:val="24"/>
                <w:szCs w:val="24"/>
              </w:rPr>
              <w:t>了解，淡水河谷</w:t>
            </w:r>
            <w:r>
              <w:rPr>
                <w:rFonts w:ascii="宋体" w:hAnsi="宋体" w:cs="宋体" w:hint="eastAsia"/>
                <w:kern w:val="0"/>
                <w:sz w:val="24"/>
                <w:szCs w:val="24"/>
              </w:rPr>
              <w:t>(Vale)</w:t>
            </w:r>
            <w:r>
              <w:rPr>
                <w:rFonts w:ascii="宋体" w:hAnsi="宋体" w:cs="宋体" w:hint="eastAsia"/>
                <w:kern w:val="0"/>
                <w:sz w:val="24"/>
                <w:szCs w:val="24"/>
              </w:rPr>
              <w:t>官方称，由于</w:t>
            </w:r>
            <w:proofErr w:type="spellStart"/>
            <w:r>
              <w:rPr>
                <w:rFonts w:ascii="宋体" w:hAnsi="宋体" w:cs="宋体" w:hint="eastAsia"/>
                <w:kern w:val="0"/>
                <w:sz w:val="24"/>
                <w:szCs w:val="24"/>
              </w:rPr>
              <w:t>Brucutu</w:t>
            </w:r>
            <w:proofErr w:type="spellEnd"/>
            <w:r>
              <w:rPr>
                <w:rFonts w:ascii="宋体" w:hAnsi="宋体" w:cs="宋体" w:hint="eastAsia"/>
                <w:kern w:val="0"/>
                <w:sz w:val="24"/>
                <w:szCs w:val="24"/>
              </w:rPr>
              <w:t>矿区生产暂时性关停，公司针对部分铁矿石及球团相关销售合同已宣布不可抗力。</w:t>
            </w:r>
            <w:r>
              <w:rPr>
                <w:rFonts w:ascii="宋体" w:hAnsi="宋体" w:cs="宋体" w:hint="eastAsia"/>
                <w:kern w:val="0"/>
                <w:sz w:val="24"/>
                <w:szCs w:val="24"/>
              </w:rPr>
              <w:t>Vale</w:t>
            </w:r>
            <w:r>
              <w:rPr>
                <w:rFonts w:ascii="宋体" w:hAnsi="宋体" w:cs="宋体" w:hint="eastAsia"/>
                <w:kern w:val="0"/>
                <w:sz w:val="24"/>
                <w:szCs w:val="24"/>
              </w:rPr>
              <w:t>补充，法院关停其</w:t>
            </w:r>
            <w:proofErr w:type="spellStart"/>
            <w:r>
              <w:rPr>
                <w:rFonts w:ascii="宋体" w:hAnsi="宋体" w:cs="宋体" w:hint="eastAsia"/>
                <w:kern w:val="0"/>
                <w:sz w:val="24"/>
                <w:szCs w:val="24"/>
              </w:rPr>
              <w:t>Brucutu</w:t>
            </w:r>
            <w:proofErr w:type="spellEnd"/>
            <w:r>
              <w:rPr>
                <w:rFonts w:ascii="宋体" w:hAnsi="宋体" w:cs="宋体" w:hint="eastAsia"/>
                <w:kern w:val="0"/>
                <w:sz w:val="24"/>
                <w:szCs w:val="24"/>
              </w:rPr>
              <w:t>矿区决定并无技术及风险评估。公司正在走法律途径尽快恢复该矿区生产运营。该事件后续报道，</w:t>
            </w:r>
            <w:proofErr w:type="spellStart"/>
            <w:r>
              <w:rPr>
                <w:rFonts w:ascii="宋体" w:hAnsi="宋体" w:cs="宋体" w:hint="eastAsia"/>
                <w:kern w:val="0"/>
                <w:sz w:val="24"/>
                <w:szCs w:val="24"/>
              </w:rPr>
              <w:t>Mysteel</w:t>
            </w:r>
            <w:proofErr w:type="spellEnd"/>
            <w:r>
              <w:rPr>
                <w:rFonts w:ascii="宋体" w:hAnsi="宋体" w:cs="宋体" w:hint="eastAsia"/>
                <w:kern w:val="0"/>
                <w:sz w:val="24"/>
                <w:szCs w:val="24"/>
              </w:rPr>
              <w:t>将持续跟踪报道。</w:t>
            </w:r>
            <w:r>
              <w:rPr>
                <w:rFonts w:ascii="宋体" w:hAnsi="宋体" w:cs="宋体"/>
                <w:kern w:val="0"/>
                <w:sz w:val="24"/>
                <w:szCs w:val="24"/>
              </w:rPr>
              <w:t>(</w:t>
            </w:r>
            <w:r>
              <w:rPr>
                <w:rFonts w:ascii="宋体" w:hAnsi="宋体" w:cs="宋体"/>
                <w:kern w:val="0"/>
                <w:sz w:val="24"/>
                <w:szCs w:val="24"/>
              </w:rPr>
              <w:t>我的</w:t>
            </w:r>
            <w:proofErr w:type="gramStart"/>
            <w:r>
              <w:rPr>
                <w:rFonts w:ascii="宋体" w:hAnsi="宋体" w:cs="宋体"/>
                <w:kern w:val="0"/>
                <w:sz w:val="24"/>
                <w:szCs w:val="24"/>
              </w:rPr>
              <w:t>钢铁网</w:t>
            </w:r>
            <w:proofErr w:type="gramEnd"/>
            <w:r>
              <w:rPr>
                <w:rFonts w:ascii="宋体" w:hAnsi="宋体" w:cs="宋体"/>
                <w:kern w:val="0"/>
                <w:sz w:val="24"/>
                <w:szCs w:val="24"/>
              </w:rPr>
              <w:t>)</w:t>
            </w:r>
            <w:r>
              <w:rPr>
                <w:rFonts w:ascii="宋体" w:hAnsi="宋体" w:cs="宋体"/>
                <w:kern w:val="0"/>
                <w:sz w:val="24"/>
                <w:szCs w:val="24"/>
              </w:rPr>
              <w:br/>
              <w:t>6</w:t>
            </w:r>
            <w:r>
              <w:rPr>
                <w:rFonts w:ascii="宋体" w:hAnsi="宋体" w:cs="宋体"/>
                <w:kern w:val="0"/>
                <w:sz w:val="24"/>
                <w:szCs w:val="24"/>
              </w:rPr>
              <w:t>、</w:t>
            </w:r>
            <w:r>
              <w:rPr>
                <w:rFonts w:ascii="宋体" w:hAnsi="宋体" w:cs="宋体" w:hint="eastAsia"/>
                <w:kern w:val="0"/>
                <w:sz w:val="24"/>
                <w:szCs w:val="24"/>
              </w:rPr>
              <w:t>记者</w:t>
            </w:r>
            <w:r>
              <w:rPr>
                <w:rFonts w:ascii="宋体" w:hAnsi="宋体" w:cs="宋体" w:hint="eastAsia"/>
                <w:kern w:val="0"/>
                <w:sz w:val="24"/>
                <w:szCs w:val="24"/>
              </w:rPr>
              <w:t>14</w:t>
            </w:r>
            <w:r>
              <w:rPr>
                <w:rFonts w:ascii="宋体" w:hAnsi="宋体" w:cs="宋体" w:hint="eastAsia"/>
                <w:kern w:val="0"/>
                <w:sz w:val="24"/>
                <w:szCs w:val="24"/>
              </w:rPr>
              <w:t>日从山西省自然资源厅获悉，这个省近年来大力实施地质找矿行动，</w:t>
            </w:r>
            <w:r>
              <w:rPr>
                <w:rFonts w:ascii="宋体" w:hAnsi="宋体" w:cs="宋体" w:hint="eastAsia"/>
                <w:kern w:val="0"/>
                <w:sz w:val="24"/>
                <w:szCs w:val="24"/>
              </w:rPr>
              <w:t>2018</w:t>
            </w:r>
            <w:r>
              <w:rPr>
                <w:rFonts w:ascii="宋体" w:hAnsi="宋体" w:cs="宋体" w:hint="eastAsia"/>
                <w:kern w:val="0"/>
                <w:sz w:val="24"/>
                <w:szCs w:val="24"/>
              </w:rPr>
              <w:t>年新发现煤炭资源</w:t>
            </w:r>
            <w:r>
              <w:rPr>
                <w:rFonts w:ascii="宋体" w:hAnsi="宋体" w:cs="宋体" w:hint="eastAsia"/>
                <w:kern w:val="0"/>
                <w:sz w:val="24"/>
                <w:szCs w:val="24"/>
              </w:rPr>
              <w:t>24.37</w:t>
            </w:r>
            <w:r>
              <w:rPr>
                <w:rFonts w:ascii="宋体" w:hAnsi="宋体" w:cs="宋体" w:hint="eastAsia"/>
                <w:kern w:val="0"/>
                <w:sz w:val="24"/>
                <w:szCs w:val="24"/>
              </w:rPr>
              <w:t>亿吨。山西省自然资源厅通报称，山西省近年来大力实施地质找矿行动</w:t>
            </w:r>
            <w:r>
              <w:rPr>
                <w:rFonts w:ascii="宋体" w:hAnsi="宋体" w:cs="宋体" w:hint="eastAsia"/>
                <w:kern w:val="0"/>
                <w:sz w:val="24"/>
                <w:szCs w:val="24"/>
              </w:rPr>
              <w:t>，</w:t>
            </w:r>
            <w:r>
              <w:rPr>
                <w:rFonts w:ascii="宋体" w:hAnsi="宋体" w:cs="宋体" w:hint="eastAsia"/>
                <w:kern w:val="0"/>
                <w:sz w:val="24"/>
                <w:szCs w:val="24"/>
              </w:rPr>
              <w:t>2018</w:t>
            </w:r>
            <w:r>
              <w:rPr>
                <w:rFonts w:ascii="宋体" w:hAnsi="宋体" w:cs="宋体" w:hint="eastAsia"/>
                <w:kern w:val="0"/>
                <w:sz w:val="24"/>
                <w:szCs w:val="24"/>
              </w:rPr>
              <w:t>年省级财政投入</w:t>
            </w:r>
            <w:r>
              <w:rPr>
                <w:rFonts w:ascii="宋体" w:hAnsi="宋体" w:cs="宋体" w:hint="eastAsia"/>
                <w:kern w:val="0"/>
                <w:sz w:val="24"/>
                <w:szCs w:val="24"/>
              </w:rPr>
              <w:t>3.57</w:t>
            </w:r>
            <w:r>
              <w:rPr>
                <w:rFonts w:ascii="宋体" w:hAnsi="宋体" w:cs="宋体" w:hint="eastAsia"/>
                <w:kern w:val="0"/>
                <w:sz w:val="24"/>
                <w:szCs w:val="24"/>
              </w:rPr>
              <w:t>亿元，安排地质勘查项目</w:t>
            </w:r>
            <w:r>
              <w:rPr>
                <w:rFonts w:ascii="宋体" w:hAnsi="宋体" w:cs="宋体" w:hint="eastAsia"/>
                <w:kern w:val="0"/>
                <w:sz w:val="24"/>
                <w:szCs w:val="24"/>
              </w:rPr>
              <w:t>83</w:t>
            </w:r>
            <w:r>
              <w:rPr>
                <w:rFonts w:ascii="宋体" w:hAnsi="宋体" w:cs="宋体" w:hint="eastAsia"/>
                <w:kern w:val="0"/>
                <w:sz w:val="24"/>
                <w:szCs w:val="24"/>
              </w:rPr>
              <w:t>个，验收往年项目</w:t>
            </w:r>
            <w:r>
              <w:rPr>
                <w:rFonts w:ascii="宋体" w:hAnsi="宋体" w:cs="宋体" w:hint="eastAsia"/>
                <w:kern w:val="0"/>
                <w:sz w:val="24"/>
                <w:szCs w:val="24"/>
              </w:rPr>
              <w:t>60</w:t>
            </w:r>
            <w:r>
              <w:rPr>
                <w:rFonts w:ascii="宋体" w:hAnsi="宋体" w:cs="宋体" w:hint="eastAsia"/>
                <w:kern w:val="0"/>
                <w:sz w:val="24"/>
                <w:szCs w:val="24"/>
              </w:rPr>
              <w:t>个，新增了一批重要矿产资源储量，其中新增煤炭资源储量</w:t>
            </w:r>
            <w:r>
              <w:rPr>
                <w:rFonts w:ascii="宋体" w:hAnsi="宋体" w:cs="宋体" w:hint="eastAsia"/>
                <w:kern w:val="0"/>
                <w:sz w:val="24"/>
                <w:szCs w:val="24"/>
              </w:rPr>
              <w:t>24.37</w:t>
            </w:r>
            <w:r>
              <w:rPr>
                <w:rFonts w:ascii="宋体" w:hAnsi="宋体" w:cs="宋体" w:hint="eastAsia"/>
                <w:kern w:val="0"/>
                <w:sz w:val="24"/>
                <w:szCs w:val="24"/>
              </w:rPr>
              <w:t>亿吨、铝土矿</w:t>
            </w:r>
            <w:r>
              <w:rPr>
                <w:rFonts w:ascii="宋体" w:hAnsi="宋体" w:cs="宋体" w:hint="eastAsia"/>
                <w:kern w:val="0"/>
                <w:sz w:val="24"/>
                <w:szCs w:val="24"/>
              </w:rPr>
              <w:t>8200</w:t>
            </w:r>
            <w:r>
              <w:rPr>
                <w:rFonts w:ascii="宋体" w:hAnsi="宋体" w:cs="宋体" w:hint="eastAsia"/>
                <w:kern w:val="0"/>
                <w:sz w:val="24"/>
                <w:szCs w:val="24"/>
              </w:rPr>
              <w:t>万吨。</w:t>
            </w:r>
          </w:p>
        </w:tc>
      </w:tr>
      <w:tr w:rsidR="00E91428" w14:paraId="0D7B76DD" w14:textId="77777777">
        <w:trPr>
          <w:trHeight w:val="90"/>
        </w:trPr>
        <w:tc>
          <w:tcPr>
            <w:tcW w:w="9213" w:type="dxa"/>
          </w:tcPr>
          <w:p w14:paraId="4ED2F12F" w14:textId="77777777" w:rsidR="00E91428" w:rsidRDefault="00E510D6">
            <w:pPr>
              <w:spacing w:line="340" w:lineRule="exact"/>
              <w:ind w:left="-45"/>
              <w:jc w:val="center"/>
              <w:rPr>
                <w:rFonts w:ascii="黑体" w:eastAsia="黑体" w:hAnsi="宋体"/>
                <w:b/>
                <w:color w:val="000000"/>
              </w:rPr>
            </w:pPr>
            <w:r>
              <w:rPr>
                <w:rFonts w:ascii="黑体" w:eastAsia="黑体" w:hAnsi="宋体" w:hint="eastAsia"/>
                <w:b/>
                <w:color w:val="000000"/>
                <w:sz w:val="24"/>
              </w:rPr>
              <w:lastRenderedPageBreak/>
              <w:t>化工产业链</w:t>
            </w:r>
          </w:p>
        </w:tc>
      </w:tr>
      <w:tr w:rsidR="00E91428" w14:paraId="0C980C63" w14:textId="77777777">
        <w:trPr>
          <w:trHeight w:val="264"/>
        </w:trPr>
        <w:tc>
          <w:tcPr>
            <w:tcW w:w="9213" w:type="dxa"/>
          </w:tcPr>
          <w:p w14:paraId="548BA725" w14:textId="77777777" w:rsidR="00E91428" w:rsidRDefault="00C94FA8" w:rsidP="00C94FA8">
            <w:pPr>
              <w:widowControl/>
              <w:jc w:val="left"/>
              <w:rPr>
                <w:rFonts w:ascii="宋体" w:hAnsi="宋体" w:cs="宋体"/>
                <w:kern w:val="0"/>
                <w:sz w:val="24"/>
                <w:szCs w:val="24"/>
              </w:rPr>
            </w:pPr>
            <w:r w:rsidRPr="00C94FA8">
              <w:rPr>
                <w:rFonts w:ascii="宋体" w:hAnsi="宋体" w:cs="宋体"/>
                <w:kern w:val="0"/>
                <w:sz w:val="24"/>
                <w:szCs w:val="24"/>
              </w:rPr>
              <w:t>1、中美贸易谈判展现积极进展为原油需求面提供支撑。上周五中美双方在北京举行第六轮中美经贸高级别磋商，双方就主要问题达成原则共识，并且表示，将根据两国元首确定的磋商期限抓紧工作，努力达成一致。（资料来源：</w:t>
            </w:r>
            <w:proofErr w:type="gramStart"/>
            <w:r w:rsidRPr="00C94FA8">
              <w:rPr>
                <w:rFonts w:ascii="宋体" w:hAnsi="宋体" w:cs="宋体"/>
                <w:kern w:val="0"/>
                <w:sz w:val="24"/>
                <w:szCs w:val="24"/>
              </w:rPr>
              <w:t>卓创资讯</w:t>
            </w:r>
            <w:proofErr w:type="gramEnd"/>
            <w:r w:rsidRPr="00C94FA8">
              <w:rPr>
                <w:rFonts w:ascii="宋体" w:hAnsi="宋体" w:cs="宋体"/>
                <w:kern w:val="0"/>
                <w:sz w:val="24"/>
                <w:szCs w:val="24"/>
              </w:rPr>
              <w:t>）</w:t>
            </w:r>
            <w:r w:rsidRPr="00C94FA8">
              <w:rPr>
                <w:rFonts w:ascii="宋体" w:hAnsi="宋体" w:cs="宋体"/>
                <w:kern w:val="0"/>
                <w:sz w:val="24"/>
                <w:szCs w:val="24"/>
              </w:rPr>
              <w:br/>
              <w:t>2、旧金山联储新任主席戴利透露，2019年美联储很有可能不会加息，这导致美元指数短线下挫，美元承压回落也帮助油价进一步走高。（资料来源：</w:t>
            </w:r>
            <w:proofErr w:type="gramStart"/>
            <w:r w:rsidRPr="00C94FA8">
              <w:rPr>
                <w:rFonts w:ascii="宋体" w:hAnsi="宋体" w:cs="宋体"/>
                <w:kern w:val="0"/>
                <w:sz w:val="24"/>
                <w:szCs w:val="24"/>
              </w:rPr>
              <w:t>卓创资讯</w:t>
            </w:r>
            <w:proofErr w:type="gramEnd"/>
            <w:r w:rsidRPr="00C94FA8">
              <w:rPr>
                <w:rFonts w:ascii="宋体" w:hAnsi="宋体" w:cs="宋体"/>
                <w:kern w:val="0"/>
                <w:sz w:val="24"/>
                <w:szCs w:val="24"/>
              </w:rPr>
              <w:t>）</w:t>
            </w:r>
            <w:r w:rsidRPr="00C94FA8">
              <w:rPr>
                <w:rFonts w:ascii="宋体" w:hAnsi="宋体" w:cs="宋体"/>
                <w:kern w:val="0"/>
                <w:sz w:val="24"/>
                <w:szCs w:val="24"/>
              </w:rPr>
              <w:br/>
              <w:t>3、沙特</w:t>
            </w:r>
            <w:proofErr w:type="spellStart"/>
            <w:r w:rsidRPr="00C94FA8">
              <w:rPr>
                <w:rFonts w:ascii="宋体" w:hAnsi="宋体" w:cs="宋体"/>
                <w:kern w:val="0"/>
                <w:sz w:val="24"/>
                <w:szCs w:val="24"/>
              </w:rPr>
              <w:t>Safaniyah</w:t>
            </w:r>
            <w:proofErr w:type="spellEnd"/>
            <w:r w:rsidRPr="00C94FA8">
              <w:rPr>
                <w:rFonts w:ascii="宋体" w:hAnsi="宋体" w:cs="宋体"/>
                <w:kern w:val="0"/>
                <w:sz w:val="24"/>
                <w:szCs w:val="24"/>
              </w:rPr>
              <w:t>油田由于出现故障而在两周前开始维修，该油田拥有120万至150万桶/日的原油生产能力，预计维修工作需要等到3月初才能完成，这也为油价带来利好。并且，沙特阿拉伯宣称3月份将原油日产量降低到980万桶，低于沙特阿拉伯在减产协议中的产量上限。（资料来源：</w:t>
            </w:r>
            <w:proofErr w:type="gramStart"/>
            <w:r w:rsidRPr="00C94FA8">
              <w:rPr>
                <w:rFonts w:ascii="宋体" w:hAnsi="宋体" w:cs="宋体"/>
                <w:kern w:val="0"/>
                <w:sz w:val="24"/>
                <w:szCs w:val="24"/>
              </w:rPr>
              <w:t>卓创资讯</w:t>
            </w:r>
            <w:proofErr w:type="gramEnd"/>
            <w:r w:rsidRPr="00C94FA8">
              <w:rPr>
                <w:rFonts w:ascii="宋体" w:hAnsi="宋体" w:cs="宋体"/>
                <w:kern w:val="0"/>
                <w:sz w:val="24"/>
                <w:szCs w:val="24"/>
              </w:rPr>
              <w:t>）</w:t>
            </w:r>
            <w:r w:rsidRPr="00C94FA8">
              <w:rPr>
                <w:rFonts w:ascii="宋体" w:hAnsi="宋体" w:cs="宋体"/>
                <w:kern w:val="0"/>
                <w:sz w:val="24"/>
                <w:szCs w:val="24"/>
              </w:rPr>
              <w:br/>
              <w:t>4、虽然欧佩克1月原油产量基本减至与对原油需求预期相当的水平，但美国原油产量持续高企和库存不断攀升，以及全球经济增速放缓迹象等利空因素不容小觑。贝克休斯2月15日公布的数据显示，当周美国石油活跃钻井数增加3座至857座，连续两周录得增长。另一方面，IEA周二报告称，预计今年美国原油产量将增加150万桶/日。（资料来源：</w:t>
            </w:r>
            <w:proofErr w:type="gramStart"/>
            <w:r w:rsidRPr="00C94FA8">
              <w:rPr>
                <w:rFonts w:ascii="宋体" w:hAnsi="宋体" w:cs="宋体"/>
                <w:kern w:val="0"/>
                <w:sz w:val="24"/>
                <w:szCs w:val="24"/>
              </w:rPr>
              <w:t>卓创资讯</w:t>
            </w:r>
            <w:proofErr w:type="gramEnd"/>
            <w:r w:rsidRPr="00C94FA8">
              <w:rPr>
                <w:rFonts w:ascii="宋体" w:hAnsi="宋体" w:cs="宋体"/>
                <w:kern w:val="0"/>
                <w:sz w:val="24"/>
                <w:szCs w:val="24"/>
              </w:rPr>
              <w:t>）</w:t>
            </w:r>
            <w:r w:rsidRPr="00C94FA8">
              <w:rPr>
                <w:rFonts w:ascii="宋体" w:hAnsi="宋体" w:cs="宋体"/>
                <w:kern w:val="0"/>
                <w:sz w:val="24"/>
                <w:szCs w:val="24"/>
              </w:rPr>
              <w:br/>
              <w:t>5、PTA装置变动预期：本周PTA</w:t>
            </w:r>
            <w:proofErr w:type="gramStart"/>
            <w:r w:rsidRPr="00C94FA8">
              <w:rPr>
                <w:rFonts w:ascii="宋体" w:hAnsi="宋体" w:cs="宋体"/>
                <w:kern w:val="0"/>
                <w:sz w:val="24"/>
                <w:szCs w:val="24"/>
              </w:rPr>
              <w:t>装置存重启</w:t>
            </w:r>
            <w:proofErr w:type="gramEnd"/>
            <w:r w:rsidRPr="00C94FA8">
              <w:rPr>
                <w:rFonts w:ascii="宋体" w:hAnsi="宋体" w:cs="宋体"/>
                <w:kern w:val="0"/>
                <w:sz w:val="24"/>
                <w:szCs w:val="24"/>
              </w:rPr>
              <w:t>计划，华彬石化140万吨装置自1月26日停车，计划2月26日附近重启，扬子石化35万吨装置计划2月19日附近重启。预计本周PTA开工将稳中提升至83.9%附近，不排除存在意外检修停车的可能。下游聚酯变化预期：节后聚酯工厂维持低负荷运行，目前仍有623万吨产能处于停车阶段，聚酯开工率恢复至78%附近，本周聚酯</w:t>
            </w:r>
            <w:proofErr w:type="gramStart"/>
            <w:r w:rsidRPr="00C94FA8">
              <w:rPr>
                <w:rFonts w:ascii="宋体" w:hAnsi="宋体" w:cs="宋体"/>
                <w:kern w:val="0"/>
                <w:sz w:val="24"/>
                <w:szCs w:val="24"/>
              </w:rPr>
              <w:t>重启及检修</w:t>
            </w:r>
            <w:proofErr w:type="gramEnd"/>
            <w:r w:rsidRPr="00C94FA8">
              <w:rPr>
                <w:rFonts w:ascii="宋体" w:hAnsi="宋体" w:cs="宋体"/>
                <w:kern w:val="0"/>
                <w:sz w:val="24"/>
                <w:szCs w:val="24"/>
              </w:rPr>
              <w:t>预期并存，因此预计聚酯工厂将恢复至78%-79%附近低负荷运行。（资料来源：</w:t>
            </w:r>
            <w:proofErr w:type="gramStart"/>
            <w:r w:rsidRPr="00C94FA8">
              <w:rPr>
                <w:rFonts w:ascii="宋体" w:hAnsi="宋体" w:cs="宋体"/>
                <w:kern w:val="0"/>
                <w:sz w:val="24"/>
                <w:szCs w:val="24"/>
              </w:rPr>
              <w:t>卓创资讯</w:t>
            </w:r>
            <w:proofErr w:type="gramEnd"/>
            <w:r w:rsidRPr="00C94FA8">
              <w:rPr>
                <w:rFonts w:ascii="宋体" w:hAnsi="宋体" w:cs="宋体"/>
                <w:kern w:val="0"/>
                <w:sz w:val="24"/>
                <w:szCs w:val="24"/>
              </w:rPr>
              <w:t>）</w:t>
            </w:r>
          </w:p>
        </w:tc>
      </w:tr>
      <w:tr w:rsidR="00E91428" w14:paraId="24A8FB18" w14:textId="77777777">
        <w:trPr>
          <w:trHeight w:val="273"/>
        </w:trPr>
        <w:tc>
          <w:tcPr>
            <w:tcW w:w="9213" w:type="dxa"/>
          </w:tcPr>
          <w:p w14:paraId="401FF28E" w14:textId="77777777" w:rsidR="00E91428" w:rsidRDefault="00E510D6">
            <w:pPr>
              <w:pBdr>
                <w:top w:val="none" w:sz="0" w:space="0" w:color="000000"/>
                <w:left w:val="none" w:sz="0" w:space="0" w:color="000000"/>
                <w:bottom w:val="none" w:sz="0" w:space="0" w:color="000000"/>
                <w:right w:val="none" w:sz="0" w:space="0" w:color="000000"/>
              </w:pBdr>
              <w:spacing w:line="340" w:lineRule="exact"/>
              <w:ind w:left="-45"/>
              <w:jc w:val="center"/>
              <w:rPr>
                <w:rFonts w:ascii="黑体" w:eastAsia="黑体" w:hAnsi="宋体"/>
                <w:b/>
                <w:color w:val="000000"/>
                <w:sz w:val="24"/>
              </w:rPr>
            </w:pPr>
            <w:r>
              <w:rPr>
                <w:rFonts w:ascii="黑体" w:eastAsia="黑体" w:hAnsi="宋体" w:hint="eastAsia"/>
                <w:b/>
                <w:color w:val="000000"/>
                <w:sz w:val="24"/>
              </w:rPr>
              <w:t>农产品产业链</w:t>
            </w:r>
          </w:p>
        </w:tc>
      </w:tr>
      <w:tr w:rsidR="00E91428" w14:paraId="3FB3139C" w14:textId="77777777">
        <w:trPr>
          <w:trHeight w:val="273"/>
        </w:trPr>
        <w:tc>
          <w:tcPr>
            <w:tcW w:w="9213" w:type="dxa"/>
          </w:tcPr>
          <w:p w14:paraId="01B58277"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、中国海关总署周四发布的统计数据显示，</w:t>
            </w:r>
            <w:r>
              <w:rPr>
                <w:rFonts w:ascii="宋体" w:hAnsi="宋体" w:cs="宋体" w:hint="eastAsia"/>
                <w:kern w:val="0"/>
                <w:sz w:val="24"/>
                <w:szCs w:val="24"/>
              </w:rPr>
              <w:t>2019</w:t>
            </w:r>
            <w:r>
              <w:rPr>
                <w:rFonts w:ascii="宋体" w:hAnsi="宋体" w:cs="宋体" w:hint="eastAsia"/>
                <w:kern w:val="0"/>
                <w:sz w:val="24"/>
                <w:szCs w:val="24"/>
              </w:rPr>
              <w:t>年</w:t>
            </w:r>
            <w:r>
              <w:rPr>
                <w:rFonts w:ascii="宋体" w:hAnsi="宋体" w:cs="宋体" w:hint="eastAsia"/>
                <w:kern w:val="0"/>
                <w:sz w:val="24"/>
                <w:szCs w:val="24"/>
              </w:rPr>
              <w:t>1</w:t>
            </w:r>
            <w:r>
              <w:rPr>
                <w:rFonts w:ascii="宋体" w:hAnsi="宋体" w:cs="宋体" w:hint="eastAsia"/>
                <w:kern w:val="0"/>
                <w:sz w:val="24"/>
                <w:szCs w:val="24"/>
              </w:rPr>
              <w:t>月份中国大豆进口量比上年同期减少</w:t>
            </w:r>
            <w:r>
              <w:rPr>
                <w:rFonts w:ascii="宋体" w:hAnsi="宋体" w:cs="宋体" w:hint="eastAsia"/>
                <w:kern w:val="0"/>
                <w:sz w:val="24"/>
                <w:szCs w:val="24"/>
              </w:rPr>
              <w:t>13%</w:t>
            </w:r>
            <w:r>
              <w:rPr>
                <w:rFonts w:ascii="宋体" w:hAnsi="宋体" w:cs="宋体" w:hint="eastAsia"/>
                <w:kern w:val="0"/>
                <w:sz w:val="24"/>
                <w:szCs w:val="24"/>
              </w:rPr>
              <w:t>，因为中国对美国大豆征收高额关税。</w:t>
            </w:r>
            <w:r>
              <w:rPr>
                <w:rFonts w:ascii="宋体" w:hAnsi="宋体" w:cs="宋体" w:hint="eastAsia"/>
                <w:kern w:val="0"/>
                <w:sz w:val="24"/>
                <w:szCs w:val="24"/>
              </w:rPr>
              <w:t>1</w:t>
            </w:r>
            <w:r>
              <w:rPr>
                <w:rFonts w:ascii="宋体" w:hAnsi="宋体" w:cs="宋体" w:hint="eastAsia"/>
                <w:kern w:val="0"/>
                <w:sz w:val="24"/>
                <w:szCs w:val="24"/>
              </w:rPr>
              <w:t>月份中国进口大豆</w:t>
            </w:r>
            <w:r>
              <w:rPr>
                <w:rFonts w:ascii="宋体" w:hAnsi="宋体" w:cs="宋体" w:hint="eastAsia"/>
                <w:kern w:val="0"/>
                <w:sz w:val="24"/>
                <w:szCs w:val="24"/>
              </w:rPr>
              <w:t>738</w:t>
            </w:r>
            <w:r>
              <w:rPr>
                <w:rFonts w:ascii="宋体" w:hAnsi="宋体" w:cs="宋体" w:hint="eastAsia"/>
                <w:kern w:val="0"/>
                <w:sz w:val="24"/>
                <w:szCs w:val="24"/>
              </w:rPr>
              <w:t>万吨，低于上年同期的</w:t>
            </w:r>
            <w:r>
              <w:rPr>
                <w:rFonts w:ascii="宋体" w:hAnsi="宋体" w:cs="宋体" w:hint="eastAsia"/>
                <w:kern w:val="0"/>
                <w:sz w:val="24"/>
                <w:szCs w:val="24"/>
              </w:rPr>
              <w:t>848</w:t>
            </w:r>
            <w:r>
              <w:rPr>
                <w:rFonts w:ascii="宋体" w:hAnsi="宋体" w:cs="宋体" w:hint="eastAsia"/>
                <w:kern w:val="0"/>
                <w:sz w:val="24"/>
                <w:szCs w:val="24"/>
              </w:rPr>
              <w:t>万吨，比</w:t>
            </w:r>
            <w:r>
              <w:rPr>
                <w:rFonts w:ascii="宋体" w:hAnsi="宋体" w:cs="宋体" w:hint="eastAsia"/>
                <w:kern w:val="0"/>
                <w:sz w:val="24"/>
                <w:szCs w:val="24"/>
              </w:rPr>
              <w:t>2018</w:t>
            </w:r>
            <w:r>
              <w:rPr>
                <w:rFonts w:ascii="宋体" w:hAnsi="宋体" w:cs="宋体" w:hint="eastAsia"/>
                <w:kern w:val="0"/>
                <w:sz w:val="24"/>
                <w:szCs w:val="24"/>
              </w:rPr>
              <w:t>年</w:t>
            </w:r>
            <w:r>
              <w:rPr>
                <w:rFonts w:ascii="宋体" w:hAnsi="宋体" w:cs="宋体" w:hint="eastAsia"/>
                <w:kern w:val="0"/>
                <w:sz w:val="24"/>
                <w:szCs w:val="24"/>
              </w:rPr>
              <w:t>12</w:t>
            </w:r>
            <w:r>
              <w:rPr>
                <w:rFonts w:ascii="宋体" w:hAnsi="宋体" w:cs="宋体" w:hint="eastAsia"/>
                <w:kern w:val="0"/>
                <w:sz w:val="24"/>
                <w:szCs w:val="24"/>
              </w:rPr>
              <w:t>月份的进口量</w:t>
            </w:r>
            <w:r>
              <w:rPr>
                <w:rFonts w:ascii="宋体" w:hAnsi="宋体" w:cs="宋体" w:hint="eastAsia"/>
                <w:kern w:val="0"/>
                <w:sz w:val="24"/>
                <w:szCs w:val="24"/>
              </w:rPr>
              <w:t>572</w:t>
            </w:r>
            <w:r>
              <w:rPr>
                <w:rFonts w:ascii="宋体" w:hAnsi="宋体" w:cs="宋体" w:hint="eastAsia"/>
                <w:kern w:val="0"/>
                <w:sz w:val="24"/>
                <w:szCs w:val="24"/>
              </w:rPr>
              <w:t>万吨增加</w:t>
            </w:r>
            <w:r>
              <w:rPr>
                <w:rFonts w:ascii="宋体" w:hAnsi="宋体" w:cs="宋体" w:hint="eastAsia"/>
                <w:kern w:val="0"/>
                <w:sz w:val="24"/>
                <w:szCs w:val="24"/>
              </w:rPr>
              <w:t>29%</w:t>
            </w:r>
            <w:r>
              <w:rPr>
                <w:rFonts w:ascii="宋体" w:hAnsi="宋体" w:cs="宋体" w:hint="eastAsia"/>
                <w:kern w:val="0"/>
                <w:sz w:val="24"/>
                <w:szCs w:val="24"/>
              </w:rPr>
              <w:t>。（来源：</w:t>
            </w:r>
            <w:r>
              <w:rPr>
                <w:rFonts w:ascii="宋体" w:hAnsi="宋体" w:cs="宋体" w:hint="eastAsia"/>
                <w:kern w:val="0"/>
                <w:sz w:val="24"/>
                <w:szCs w:val="24"/>
              </w:rPr>
              <w:t>cofeed</w:t>
            </w:r>
            <w:r>
              <w:rPr>
                <w:rFonts w:ascii="宋体" w:hAnsi="宋体" w:cs="宋体" w:hint="eastAsia"/>
                <w:kern w:val="0"/>
                <w:sz w:val="24"/>
                <w:szCs w:val="24"/>
              </w:rPr>
              <w:t>）</w:t>
            </w:r>
          </w:p>
          <w:p w14:paraId="2B5AD24B"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中国农业农村部部长韩长赋在全国春耕工作会议上表示，今年将会扩大大豆和油料作物的种植面积，同时适当减少水稻和小麦的种植面积。韩部长表示，中国将通过种植户补贴和轮作补助等手段来调动农民的种植热情。（来源：</w:t>
            </w:r>
            <w:r>
              <w:rPr>
                <w:rFonts w:ascii="宋体" w:hAnsi="宋体" w:cs="宋体" w:hint="eastAsia"/>
                <w:kern w:val="0"/>
                <w:sz w:val="24"/>
                <w:szCs w:val="24"/>
              </w:rPr>
              <w:t>cofeed</w:t>
            </w:r>
            <w:r>
              <w:rPr>
                <w:rFonts w:ascii="宋体" w:hAnsi="宋体" w:cs="宋体" w:hint="eastAsia"/>
                <w:kern w:val="0"/>
                <w:sz w:val="24"/>
                <w:szCs w:val="24"/>
              </w:rPr>
              <w:t>）</w:t>
            </w:r>
          </w:p>
          <w:p w14:paraId="56425087"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、巴西国家商品供应公司</w:t>
            </w:r>
            <w:r>
              <w:rPr>
                <w:rFonts w:ascii="宋体" w:hAnsi="宋体" w:cs="宋体" w:hint="eastAsia"/>
                <w:kern w:val="0"/>
                <w:sz w:val="24"/>
                <w:szCs w:val="24"/>
              </w:rPr>
              <w:t>CONAB</w:t>
            </w:r>
            <w:r>
              <w:rPr>
                <w:rFonts w:ascii="宋体" w:hAnsi="宋体" w:cs="宋体" w:hint="eastAsia"/>
                <w:kern w:val="0"/>
                <w:sz w:val="24"/>
                <w:szCs w:val="24"/>
              </w:rPr>
              <w:t>本周发布的</w:t>
            </w:r>
            <w:r>
              <w:rPr>
                <w:rFonts w:ascii="宋体" w:hAnsi="宋体" w:cs="宋体" w:hint="eastAsia"/>
                <w:kern w:val="0"/>
                <w:sz w:val="24"/>
                <w:szCs w:val="24"/>
              </w:rPr>
              <w:t>2</w:t>
            </w:r>
            <w:r>
              <w:rPr>
                <w:rFonts w:ascii="宋体" w:hAnsi="宋体" w:cs="宋体" w:hint="eastAsia"/>
                <w:kern w:val="0"/>
                <w:sz w:val="24"/>
                <w:szCs w:val="24"/>
              </w:rPr>
              <w:t>月份农作物报告显示，</w:t>
            </w:r>
            <w:r>
              <w:rPr>
                <w:rFonts w:ascii="宋体" w:hAnsi="宋体" w:cs="宋体" w:hint="eastAsia"/>
                <w:kern w:val="0"/>
                <w:sz w:val="24"/>
                <w:szCs w:val="24"/>
              </w:rPr>
              <w:t>2018/19</w:t>
            </w:r>
            <w:r>
              <w:rPr>
                <w:rFonts w:ascii="宋体" w:hAnsi="宋体" w:cs="宋体" w:hint="eastAsia"/>
                <w:kern w:val="0"/>
                <w:sz w:val="24"/>
                <w:szCs w:val="24"/>
              </w:rPr>
              <w:t>年度巴西大豆产量为</w:t>
            </w:r>
            <w:r>
              <w:rPr>
                <w:rFonts w:ascii="宋体" w:hAnsi="宋体" w:cs="宋体" w:hint="eastAsia"/>
                <w:kern w:val="0"/>
                <w:sz w:val="24"/>
                <w:szCs w:val="24"/>
              </w:rPr>
              <w:t>1.153</w:t>
            </w:r>
            <w:r>
              <w:rPr>
                <w:rFonts w:ascii="宋体" w:hAnsi="宋体" w:cs="宋体" w:hint="eastAsia"/>
                <w:kern w:val="0"/>
                <w:sz w:val="24"/>
                <w:szCs w:val="24"/>
              </w:rPr>
              <w:t>亿吨，比早先预测值低</w:t>
            </w:r>
            <w:r>
              <w:rPr>
                <w:rFonts w:ascii="宋体" w:hAnsi="宋体" w:cs="宋体" w:hint="eastAsia"/>
                <w:kern w:val="0"/>
                <w:sz w:val="24"/>
                <w:szCs w:val="24"/>
              </w:rPr>
              <w:t>350</w:t>
            </w:r>
            <w:r>
              <w:rPr>
                <w:rFonts w:ascii="宋体" w:hAnsi="宋体" w:cs="宋体" w:hint="eastAsia"/>
                <w:kern w:val="0"/>
                <w:sz w:val="24"/>
                <w:szCs w:val="24"/>
              </w:rPr>
              <w:t>万吨，因为</w:t>
            </w:r>
            <w:r>
              <w:rPr>
                <w:rFonts w:ascii="宋体" w:hAnsi="宋体" w:cs="宋体" w:hint="eastAsia"/>
                <w:kern w:val="0"/>
                <w:sz w:val="24"/>
                <w:szCs w:val="24"/>
              </w:rPr>
              <w:t>12</w:t>
            </w:r>
            <w:r>
              <w:rPr>
                <w:rFonts w:ascii="宋体" w:hAnsi="宋体" w:cs="宋体" w:hint="eastAsia"/>
                <w:kern w:val="0"/>
                <w:sz w:val="24"/>
                <w:szCs w:val="24"/>
              </w:rPr>
              <w:t>月和</w:t>
            </w:r>
            <w:r>
              <w:rPr>
                <w:rFonts w:ascii="宋体" w:hAnsi="宋体" w:cs="宋体" w:hint="eastAsia"/>
                <w:kern w:val="0"/>
                <w:sz w:val="24"/>
                <w:szCs w:val="24"/>
              </w:rPr>
              <w:t>1</w:t>
            </w:r>
            <w:r>
              <w:rPr>
                <w:rFonts w:ascii="宋体" w:hAnsi="宋体" w:cs="宋体" w:hint="eastAsia"/>
                <w:kern w:val="0"/>
                <w:sz w:val="24"/>
                <w:szCs w:val="24"/>
              </w:rPr>
              <w:t>月期间天气炎热</w:t>
            </w:r>
            <w:r>
              <w:rPr>
                <w:rFonts w:ascii="宋体" w:hAnsi="宋体" w:cs="宋体" w:hint="eastAsia"/>
                <w:kern w:val="0"/>
                <w:sz w:val="24"/>
                <w:szCs w:val="24"/>
              </w:rPr>
              <w:lastRenderedPageBreak/>
              <w:t>干燥，导致单产低于上年水平。</w:t>
            </w:r>
            <w:r>
              <w:rPr>
                <w:rFonts w:ascii="宋体" w:hAnsi="宋体" w:cs="宋体" w:hint="eastAsia"/>
                <w:kern w:val="0"/>
                <w:sz w:val="24"/>
                <w:szCs w:val="24"/>
              </w:rPr>
              <w:t>CONAB</w:t>
            </w:r>
            <w:r>
              <w:rPr>
                <w:rFonts w:ascii="宋体" w:hAnsi="宋体" w:cs="宋体" w:hint="eastAsia"/>
                <w:kern w:val="0"/>
                <w:sz w:val="24"/>
                <w:szCs w:val="24"/>
              </w:rPr>
              <w:t>当前的大豆产量预测数据比上年产量减少约</w:t>
            </w:r>
            <w:r>
              <w:rPr>
                <w:rFonts w:ascii="宋体" w:hAnsi="宋体" w:cs="宋体" w:hint="eastAsia"/>
                <w:kern w:val="0"/>
                <w:sz w:val="24"/>
                <w:szCs w:val="24"/>
              </w:rPr>
              <w:t>400</w:t>
            </w:r>
            <w:r>
              <w:rPr>
                <w:rFonts w:ascii="宋体" w:hAnsi="宋体" w:cs="宋体" w:hint="eastAsia"/>
                <w:kern w:val="0"/>
                <w:sz w:val="24"/>
                <w:szCs w:val="24"/>
              </w:rPr>
              <w:t>万吨或</w:t>
            </w:r>
            <w:r>
              <w:rPr>
                <w:rFonts w:ascii="宋体" w:hAnsi="宋体" w:cs="宋体" w:hint="eastAsia"/>
                <w:kern w:val="0"/>
                <w:sz w:val="24"/>
                <w:szCs w:val="24"/>
              </w:rPr>
              <w:t>3.3%</w:t>
            </w:r>
            <w:r>
              <w:rPr>
                <w:rFonts w:ascii="宋体" w:hAnsi="宋体" w:cs="宋体" w:hint="eastAsia"/>
                <w:kern w:val="0"/>
                <w:sz w:val="24"/>
                <w:szCs w:val="24"/>
              </w:rPr>
              <w:t>。报告称，</w:t>
            </w:r>
            <w:r>
              <w:rPr>
                <w:rFonts w:ascii="宋体" w:hAnsi="宋体" w:cs="宋体" w:hint="eastAsia"/>
                <w:kern w:val="0"/>
                <w:sz w:val="24"/>
                <w:szCs w:val="24"/>
              </w:rPr>
              <w:t>2018/19</w:t>
            </w:r>
            <w:r>
              <w:rPr>
                <w:rFonts w:ascii="宋体" w:hAnsi="宋体" w:cs="宋体" w:hint="eastAsia"/>
                <w:kern w:val="0"/>
                <w:sz w:val="24"/>
                <w:szCs w:val="24"/>
              </w:rPr>
              <w:t>年度巴西大豆平均单产预计为</w:t>
            </w:r>
            <w:r>
              <w:rPr>
                <w:rFonts w:ascii="宋体" w:hAnsi="宋体" w:cs="宋体" w:hint="eastAsia"/>
                <w:kern w:val="0"/>
                <w:sz w:val="24"/>
                <w:szCs w:val="24"/>
              </w:rPr>
              <w:t>3220</w:t>
            </w:r>
            <w:r>
              <w:rPr>
                <w:rFonts w:ascii="宋体" w:hAnsi="宋体" w:cs="宋体" w:hint="eastAsia"/>
                <w:kern w:val="0"/>
                <w:sz w:val="24"/>
                <w:szCs w:val="24"/>
              </w:rPr>
              <w:t>公斤</w:t>
            </w:r>
            <w:r>
              <w:rPr>
                <w:rFonts w:ascii="宋体" w:hAnsi="宋体" w:cs="宋体" w:hint="eastAsia"/>
                <w:kern w:val="0"/>
                <w:sz w:val="24"/>
                <w:szCs w:val="24"/>
              </w:rPr>
              <w:t>/</w:t>
            </w:r>
            <w:r>
              <w:rPr>
                <w:rFonts w:ascii="宋体" w:hAnsi="宋体" w:cs="宋体" w:hint="eastAsia"/>
                <w:kern w:val="0"/>
                <w:sz w:val="24"/>
                <w:szCs w:val="24"/>
              </w:rPr>
              <w:t>公顷，约合每英亩</w:t>
            </w:r>
            <w:r>
              <w:rPr>
                <w:rFonts w:ascii="宋体" w:hAnsi="宋体" w:cs="宋体" w:hint="eastAsia"/>
                <w:kern w:val="0"/>
                <w:sz w:val="24"/>
                <w:szCs w:val="24"/>
              </w:rPr>
              <w:t>47.6</w:t>
            </w:r>
            <w:r>
              <w:rPr>
                <w:rFonts w:ascii="宋体" w:hAnsi="宋体" w:cs="宋体" w:hint="eastAsia"/>
                <w:kern w:val="0"/>
                <w:sz w:val="24"/>
                <w:szCs w:val="24"/>
              </w:rPr>
              <w:t>蒲式耳，比上年减少</w:t>
            </w:r>
            <w:r>
              <w:rPr>
                <w:rFonts w:ascii="宋体" w:hAnsi="宋体" w:cs="宋体" w:hint="eastAsia"/>
                <w:kern w:val="0"/>
                <w:sz w:val="24"/>
                <w:szCs w:val="24"/>
              </w:rPr>
              <w:t>5.1%</w:t>
            </w:r>
            <w:r>
              <w:rPr>
                <w:rFonts w:ascii="宋体" w:hAnsi="宋体" w:cs="宋体" w:hint="eastAsia"/>
                <w:kern w:val="0"/>
                <w:sz w:val="24"/>
                <w:szCs w:val="24"/>
              </w:rPr>
              <w:t>。大豆播种面积预计为</w:t>
            </w:r>
            <w:r>
              <w:rPr>
                <w:rFonts w:ascii="宋体" w:hAnsi="宋体" w:cs="宋体" w:hint="eastAsia"/>
                <w:kern w:val="0"/>
                <w:sz w:val="24"/>
                <w:szCs w:val="24"/>
              </w:rPr>
              <w:t>3580</w:t>
            </w:r>
            <w:r>
              <w:rPr>
                <w:rFonts w:ascii="宋体" w:hAnsi="宋体" w:cs="宋体" w:hint="eastAsia"/>
                <w:kern w:val="0"/>
                <w:sz w:val="24"/>
                <w:szCs w:val="24"/>
              </w:rPr>
              <w:t>万公顷，约合</w:t>
            </w:r>
            <w:r>
              <w:rPr>
                <w:rFonts w:ascii="宋体" w:hAnsi="宋体" w:cs="宋体" w:hint="eastAsia"/>
                <w:kern w:val="0"/>
                <w:sz w:val="24"/>
                <w:szCs w:val="24"/>
              </w:rPr>
              <w:t>8840</w:t>
            </w:r>
            <w:r>
              <w:rPr>
                <w:rFonts w:ascii="宋体" w:hAnsi="宋体" w:cs="宋体" w:hint="eastAsia"/>
                <w:kern w:val="0"/>
                <w:sz w:val="24"/>
                <w:szCs w:val="24"/>
              </w:rPr>
              <w:t>万英亩，比上年增加</w:t>
            </w:r>
            <w:r>
              <w:rPr>
                <w:rFonts w:ascii="宋体" w:hAnsi="宋体" w:cs="宋体" w:hint="eastAsia"/>
                <w:kern w:val="0"/>
                <w:sz w:val="24"/>
                <w:szCs w:val="24"/>
              </w:rPr>
              <w:t>1.9%</w:t>
            </w:r>
            <w:r>
              <w:rPr>
                <w:rFonts w:ascii="宋体" w:hAnsi="宋体" w:cs="宋体" w:hint="eastAsia"/>
                <w:kern w:val="0"/>
                <w:sz w:val="24"/>
                <w:szCs w:val="24"/>
              </w:rPr>
              <w:t>。（来源：</w:t>
            </w:r>
            <w:r>
              <w:rPr>
                <w:rFonts w:ascii="宋体" w:hAnsi="宋体" w:cs="宋体" w:hint="eastAsia"/>
                <w:kern w:val="0"/>
                <w:sz w:val="24"/>
                <w:szCs w:val="24"/>
              </w:rPr>
              <w:t>cofeed</w:t>
            </w:r>
            <w:r>
              <w:rPr>
                <w:rFonts w:ascii="宋体" w:hAnsi="宋体" w:cs="宋体" w:hint="eastAsia"/>
                <w:kern w:val="0"/>
                <w:sz w:val="24"/>
                <w:szCs w:val="24"/>
              </w:rPr>
              <w:t>）</w:t>
            </w:r>
          </w:p>
          <w:p w14:paraId="49182E3F" w14:textId="77777777" w:rsidR="00E91428" w:rsidRDefault="00E510D6">
            <w:pPr>
              <w:widowControl/>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、罗萨里奥谷物交易所（</w:t>
            </w:r>
            <w:r>
              <w:rPr>
                <w:rFonts w:ascii="宋体" w:hAnsi="宋体" w:cs="宋体" w:hint="eastAsia"/>
                <w:kern w:val="0"/>
                <w:sz w:val="24"/>
                <w:szCs w:val="24"/>
              </w:rPr>
              <w:t>RGE</w:t>
            </w:r>
            <w:r>
              <w:rPr>
                <w:rFonts w:ascii="宋体" w:hAnsi="宋体" w:cs="宋体" w:hint="eastAsia"/>
                <w:kern w:val="0"/>
                <w:sz w:val="24"/>
                <w:szCs w:val="24"/>
              </w:rPr>
              <w:t>）发</w:t>
            </w:r>
            <w:r>
              <w:rPr>
                <w:rFonts w:ascii="宋体" w:hAnsi="宋体" w:cs="宋体" w:hint="eastAsia"/>
                <w:kern w:val="0"/>
                <w:sz w:val="24"/>
                <w:szCs w:val="24"/>
              </w:rPr>
              <w:t>布的报告称，</w:t>
            </w:r>
            <w:r>
              <w:rPr>
                <w:rFonts w:ascii="宋体" w:hAnsi="宋体" w:cs="宋体" w:hint="eastAsia"/>
                <w:kern w:val="0"/>
                <w:sz w:val="24"/>
                <w:szCs w:val="24"/>
              </w:rPr>
              <w:t>2018/19</w:t>
            </w:r>
            <w:r>
              <w:rPr>
                <w:rFonts w:ascii="宋体" w:hAnsi="宋体" w:cs="宋体" w:hint="eastAsia"/>
                <w:kern w:val="0"/>
                <w:sz w:val="24"/>
                <w:szCs w:val="24"/>
              </w:rPr>
              <w:t>年度阿根廷大豆产量预计为</w:t>
            </w:r>
            <w:r>
              <w:rPr>
                <w:rFonts w:ascii="宋体" w:hAnsi="宋体" w:cs="宋体" w:hint="eastAsia"/>
                <w:kern w:val="0"/>
                <w:sz w:val="24"/>
                <w:szCs w:val="24"/>
              </w:rPr>
              <w:t>5200</w:t>
            </w:r>
            <w:r>
              <w:rPr>
                <w:rFonts w:ascii="宋体" w:hAnsi="宋体" w:cs="宋体" w:hint="eastAsia"/>
                <w:kern w:val="0"/>
                <w:sz w:val="24"/>
                <w:szCs w:val="24"/>
              </w:rPr>
              <w:t>万吨，高于上次预测的</w:t>
            </w:r>
            <w:r>
              <w:rPr>
                <w:rFonts w:ascii="宋体" w:hAnsi="宋体" w:cs="宋体" w:hint="eastAsia"/>
                <w:kern w:val="0"/>
                <w:sz w:val="24"/>
                <w:szCs w:val="24"/>
              </w:rPr>
              <w:t>5000</w:t>
            </w:r>
            <w:r>
              <w:rPr>
                <w:rFonts w:ascii="宋体" w:hAnsi="宋体" w:cs="宋体" w:hint="eastAsia"/>
                <w:kern w:val="0"/>
                <w:sz w:val="24"/>
                <w:szCs w:val="24"/>
              </w:rPr>
              <w:t>万吨。作为对比，美国农业部当前预测值为</w:t>
            </w:r>
            <w:r>
              <w:rPr>
                <w:rFonts w:ascii="宋体" w:hAnsi="宋体" w:cs="宋体" w:hint="eastAsia"/>
                <w:kern w:val="0"/>
                <w:sz w:val="24"/>
                <w:szCs w:val="24"/>
              </w:rPr>
              <w:t>5500</w:t>
            </w:r>
            <w:r>
              <w:rPr>
                <w:rFonts w:ascii="宋体" w:hAnsi="宋体" w:cs="宋体" w:hint="eastAsia"/>
                <w:kern w:val="0"/>
                <w:sz w:val="24"/>
                <w:szCs w:val="24"/>
              </w:rPr>
              <w:t>万吨。交易所还预测本年度阿根廷玉米产量为</w:t>
            </w:r>
            <w:r>
              <w:rPr>
                <w:rFonts w:ascii="宋体" w:hAnsi="宋体" w:cs="宋体" w:hint="eastAsia"/>
                <w:kern w:val="0"/>
                <w:sz w:val="24"/>
                <w:szCs w:val="24"/>
              </w:rPr>
              <w:t>4650</w:t>
            </w:r>
            <w:r>
              <w:rPr>
                <w:rFonts w:ascii="宋体" w:hAnsi="宋体" w:cs="宋体" w:hint="eastAsia"/>
                <w:kern w:val="0"/>
                <w:sz w:val="24"/>
                <w:szCs w:val="24"/>
              </w:rPr>
              <w:t>万吨，高于早先预测的</w:t>
            </w:r>
            <w:r>
              <w:rPr>
                <w:rFonts w:ascii="宋体" w:hAnsi="宋体" w:cs="宋体" w:hint="eastAsia"/>
                <w:kern w:val="0"/>
                <w:sz w:val="24"/>
                <w:szCs w:val="24"/>
              </w:rPr>
              <w:t>4400</w:t>
            </w:r>
            <w:r>
              <w:rPr>
                <w:rFonts w:ascii="宋体" w:hAnsi="宋体" w:cs="宋体" w:hint="eastAsia"/>
                <w:kern w:val="0"/>
                <w:sz w:val="24"/>
                <w:szCs w:val="24"/>
              </w:rPr>
              <w:t>万吨，也高于美国农业部当前预测的</w:t>
            </w:r>
            <w:r>
              <w:rPr>
                <w:rFonts w:ascii="宋体" w:hAnsi="宋体" w:cs="宋体" w:hint="eastAsia"/>
                <w:kern w:val="0"/>
                <w:sz w:val="24"/>
                <w:szCs w:val="24"/>
              </w:rPr>
              <w:t>4600</w:t>
            </w:r>
            <w:r>
              <w:rPr>
                <w:rFonts w:ascii="宋体" w:hAnsi="宋体" w:cs="宋体" w:hint="eastAsia"/>
                <w:kern w:val="0"/>
                <w:sz w:val="24"/>
                <w:szCs w:val="24"/>
              </w:rPr>
              <w:t>万吨。（来源：</w:t>
            </w:r>
            <w:r>
              <w:rPr>
                <w:rFonts w:ascii="宋体" w:hAnsi="宋体" w:cs="宋体" w:hint="eastAsia"/>
                <w:kern w:val="0"/>
                <w:sz w:val="24"/>
                <w:szCs w:val="24"/>
              </w:rPr>
              <w:t>cofeed</w:t>
            </w:r>
            <w:r>
              <w:rPr>
                <w:rFonts w:ascii="宋体" w:hAnsi="宋体" w:cs="宋体" w:hint="eastAsia"/>
                <w:kern w:val="0"/>
                <w:sz w:val="24"/>
                <w:szCs w:val="24"/>
              </w:rPr>
              <w:t>）</w:t>
            </w:r>
          </w:p>
        </w:tc>
      </w:tr>
      <w:tr w:rsidR="00E91428" w14:paraId="3AFFAD5C" w14:textId="77777777">
        <w:trPr>
          <w:trHeight w:val="90"/>
        </w:trPr>
        <w:tc>
          <w:tcPr>
            <w:tcW w:w="9213" w:type="dxa"/>
          </w:tcPr>
          <w:p w14:paraId="540410A7" w14:textId="77777777" w:rsidR="00E91428" w:rsidRDefault="00E510D6">
            <w:pPr>
              <w:pBdr>
                <w:top w:val="none" w:sz="0" w:space="0" w:color="000000"/>
                <w:left w:val="none" w:sz="0" w:space="0" w:color="000000"/>
                <w:bottom w:val="none" w:sz="0" w:space="0" w:color="000000"/>
                <w:right w:val="none" w:sz="0" w:space="0" w:color="000000"/>
              </w:pBdr>
              <w:spacing w:line="340" w:lineRule="exact"/>
              <w:ind w:left="-45"/>
              <w:jc w:val="center"/>
              <w:rPr>
                <w:rFonts w:ascii="黑体" w:eastAsia="黑体" w:hAnsi="宋体"/>
                <w:b/>
                <w:color w:val="000000"/>
                <w:sz w:val="24"/>
              </w:rPr>
            </w:pPr>
            <w:proofErr w:type="gramStart"/>
            <w:r>
              <w:rPr>
                <w:rFonts w:ascii="黑体" w:eastAsia="黑体" w:hAnsi="宋体" w:hint="eastAsia"/>
                <w:b/>
                <w:color w:val="000000"/>
                <w:sz w:val="24"/>
              </w:rPr>
              <w:lastRenderedPageBreak/>
              <w:t>有色产业</w:t>
            </w:r>
            <w:proofErr w:type="gramEnd"/>
            <w:r>
              <w:rPr>
                <w:rFonts w:ascii="黑体" w:eastAsia="黑体" w:hAnsi="宋体" w:hint="eastAsia"/>
                <w:b/>
                <w:color w:val="000000"/>
                <w:sz w:val="24"/>
              </w:rPr>
              <w:t>链</w:t>
            </w:r>
          </w:p>
        </w:tc>
      </w:tr>
      <w:tr w:rsidR="00E91428" w14:paraId="4BA3AEA8" w14:textId="77777777">
        <w:trPr>
          <w:trHeight w:val="90"/>
        </w:trPr>
        <w:tc>
          <w:tcPr>
            <w:tcW w:w="9213" w:type="dxa"/>
          </w:tcPr>
          <w:p w14:paraId="7DAA8254" w14:textId="77777777" w:rsidR="00C94FA8" w:rsidRPr="0052161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1、海关总署发布出口数据显示2019年1月全国未锻轧铝及铝材出口总量达55.2万吨，是2015年1月以来最高 出口量，环比增长4.74%，同比增长23.02%。（来源：海关总署）</w:t>
            </w:r>
          </w:p>
          <w:p w14:paraId="1156BD8A" w14:textId="77777777" w:rsidR="00C94FA8" w:rsidRPr="0052161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2、国家海关总署周四公布的数据显示中国1月未锻轧铜及铜材</w:t>
            </w:r>
            <w:proofErr w:type="gramStart"/>
            <w:r w:rsidRPr="00521618">
              <w:rPr>
                <w:rFonts w:ascii="宋体" w:hAnsi="宋体" w:cs="宋体" w:hint="eastAsia"/>
                <w:kern w:val="0"/>
                <w:sz w:val="24"/>
                <w:szCs w:val="24"/>
              </w:rPr>
              <w:t>进口量环比</w:t>
            </w:r>
            <w:proofErr w:type="gramEnd"/>
            <w:r w:rsidRPr="00521618">
              <w:rPr>
                <w:rFonts w:ascii="宋体" w:hAnsi="宋体" w:cs="宋体" w:hint="eastAsia"/>
                <w:kern w:val="0"/>
                <w:sz w:val="24"/>
                <w:szCs w:val="24"/>
              </w:rPr>
              <w:t>增加12%，至47.9万吨；同比增加 8.9%。SMM表示，未锻轧铜及铜材中，70%为精铜。1月份LME维持较大幅的contango结构，期间进口窗口多次 闪现，平均进口</w:t>
            </w:r>
            <w:proofErr w:type="gramStart"/>
            <w:r w:rsidRPr="00521618">
              <w:rPr>
                <w:rFonts w:ascii="宋体" w:hAnsi="宋体" w:cs="宋体" w:hint="eastAsia"/>
                <w:kern w:val="0"/>
                <w:sz w:val="24"/>
                <w:szCs w:val="24"/>
              </w:rPr>
              <w:t>亏损仅</w:t>
            </w:r>
            <w:proofErr w:type="gramEnd"/>
            <w:r w:rsidRPr="00521618">
              <w:rPr>
                <w:rFonts w:ascii="宋体" w:hAnsi="宋体" w:cs="宋体" w:hint="eastAsia"/>
                <w:kern w:val="0"/>
                <w:sz w:val="24"/>
                <w:szCs w:val="24"/>
              </w:rPr>
              <w:t>200元/吨左右，刺激了精铜进口需求。（来源：SMM）</w:t>
            </w:r>
          </w:p>
          <w:p w14:paraId="47B215B3" w14:textId="77777777" w:rsidR="00C94FA8" w:rsidRPr="0052161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3、2月14日，SMM统计国内电解</w:t>
            </w:r>
            <w:proofErr w:type="gramStart"/>
            <w:r w:rsidRPr="00521618">
              <w:rPr>
                <w:rFonts w:ascii="宋体" w:hAnsi="宋体" w:cs="宋体" w:hint="eastAsia"/>
                <w:kern w:val="0"/>
                <w:sz w:val="24"/>
                <w:szCs w:val="24"/>
              </w:rPr>
              <w:t>铝社会</w:t>
            </w:r>
            <w:proofErr w:type="gramEnd"/>
            <w:r w:rsidRPr="00521618">
              <w:rPr>
                <w:rFonts w:ascii="宋体" w:hAnsi="宋体" w:cs="宋体" w:hint="eastAsia"/>
                <w:kern w:val="0"/>
                <w:sz w:val="24"/>
                <w:szCs w:val="24"/>
              </w:rPr>
              <w:t xml:space="preserve">库存（含SHFE仓单）：上海地区31.2万吨，无锡地区60.8万吨，杭州 地区14.3万吨，巩义地区14.5万吨，南海地区29.4万吨，天津5.4万吨，临沂2.9万吨，重庆3.2万吨，消费 地铝锭库存合计161.7万吨，相比周一增加5.5万吨。（来源：SMM） </w:t>
            </w:r>
          </w:p>
          <w:p w14:paraId="15F74135" w14:textId="77777777" w:rsidR="00C94FA8" w:rsidRPr="0052161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4、秘鲁环境评估检测局(OEFA)已经查明，在</w:t>
            </w:r>
            <w:proofErr w:type="gramStart"/>
            <w:r w:rsidRPr="00521618">
              <w:rPr>
                <w:rFonts w:ascii="宋体" w:hAnsi="宋体" w:cs="宋体" w:hint="eastAsia"/>
                <w:kern w:val="0"/>
                <w:sz w:val="24"/>
                <w:szCs w:val="24"/>
              </w:rPr>
              <w:t>南部铜</w:t>
            </w:r>
            <w:proofErr w:type="gramEnd"/>
            <w:r w:rsidRPr="00521618">
              <w:rPr>
                <w:rFonts w:ascii="宋体" w:hAnsi="宋体" w:cs="宋体" w:hint="eastAsia"/>
                <w:kern w:val="0"/>
                <w:sz w:val="24"/>
                <w:szCs w:val="24"/>
              </w:rPr>
              <w:t>业的</w:t>
            </w:r>
            <w:proofErr w:type="spellStart"/>
            <w:r w:rsidRPr="00521618">
              <w:rPr>
                <w:rFonts w:ascii="宋体" w:hAnsi="宋体" w:cs="宋体" w:hint="eastAsia"/>
                <w:kern w:val="0"/>
                <w:sz w:val="24"/>
                <w:szCs w:val="24"/>
              </w:rPr>
              <w:t>Cuajone</w:t>
            </w:r>
            <w:proofErr w:type="spellEnd"/>
            <w:r w:rsidRPr="00521618">
              <w:rPr>
                <w:rFonts w:ascii="宋体" w:hAnsi="宋体" w:cs="宋体" w:hint="eastAsia"/>
                <w:kern w:val="0"/>
                <w:sz w:val="24"/>
                <w:szCs w:val="24"/>
              </w:rPr>
              <w:t>矿附近的河流中发现的“绿色液体”并非尾 矿泄漏物。该地过去一周发生强降雨，OEFA将继续监测该矿的运营。南方铜业在上周五已经暂停了该铜矿选 厂的运营，并称3-5天内不会重启。（来源：中国有色网）</w:t>
            </w:r>
          </w:p>
          <w:p w14:paraId="498D452D" w14:textId="77777777" w:rsidR="00E91428" w:rsidRDefault="00C94FA8" w:rsidP="00C94FA8">
            <w:pPr>
              <w:widowControl/>
              <w:jc w:val="left"/>
              <w:rPr>
                <w:rFonts w:ascii="宋体" w:hAnsi="宋体" w:cs="宋体"/>
                <w:kern w:val="0"/>
                <w:sz w:val="24"/>
                <w:szCs w:val="24"/>
              </w:rPr>
            </w:pPr>
            <w:r w:rsidRPr="00521618">
              <w:rPr>
                <w:rFonts w:ascii="宋体" w:hAnsi="宋体" w:cs="宋体" w:hint="eastAsia"/>
                <w:kern w:val="0"/>
                <w:sz w:val="24"/>
                <w:szCs w:val="24"/>
              </w:rPr>
              <w:t>5、摩根士丹利（Morgan Stanley）在一份报告中称，预计年底时</w:t>
            </w:r>
            <w:proofErr w:type="gramStart"/>
            <w:r w:rsidRPr="00521618">
              <w:rPr>
                <w:rFonts w:ascii="宋体" w:hAnsi="宋体" w:cs="宋体" w:hint="eastAsia"/>
                <w:kern w:val="0"/>
                <w:sz w:val="24"/>
                <w:szCs w:val="24"/>
              </w:rPr>
              <w:t>铜价料较目前</w:t>
            </w:r>
            <w:proofErr w:type="gramEnd"/>
            <w:r w:rsidRPr="00521618">
              <w:rPr>
                <w:rFonts w:ascii="宋体" w:hAnsi="宋体" w:cs="宋体" w:hint="eastAsia"/>
                <w:kern w:val="0"/>
                <w:sz w:val="24"/>
                <w:szCs w:val="24"/>
              </w:rPr>
              <w:t>水平上涨14%，因受</w:t>
            </w:r>
            <w:proofErr w:type="gramStart"/>
            <w:r w:rsidRPr="00521618">
              <w:rPr>
                <w:rFonts w:ascii="宋体" w:hAnsi="宋体" w:cs="宋体" w:hint="eastAsia"/>
                <w:kern w:val="0"/>
                <w:sz w:val="24"/>
                <w:szCs w:val="24"/>
              </w:rPr>
              <w:t>供应面</w:t>
            </w:r>
            <w:proofErr w:type="gramEnd"/>
            <w:r w:rsidRPr="00521618">
              <w:rPr>
                <w:rFonts w:ascii="宋体" w:hAnsi="宋体" w:cs="宋体" w:hint="eastAsia"/>
                <w:kern w:val="0"/>
                <w:sz w:val="24"/>
                <w:szCs w:val="24"/>
              </w:rPr>
              <w:t xml:space="preserve">问 </w:t>
            </w:r>
            <w:proofErr w:type="gramStart"/>
            <w:r w:rsidRPr="00521618">
              <w:rPr>
                <w:rFonts w:ascii="宋体" w:hAnsi="宋体" w:cs="宋体" w:hint="eastAsia"/>
                <w:kern w:val="0"/>
                <w:sz w:val="24"/>
                <w:szCs w:val="24"/>
              </w:rPr>
              <w:t>题导致</w:t>
            </w:r>
            <w:proofErr w:type="gramEnd"/>
            <w:r w:rsidRPr="00521618">
              <w:rPr>
                <w:rFonts w:ascii="宋体" w:hAnsi="宋体" w:cs="宋体" w:hint="eastAsia"/>
                <w:kern w:val="0"/>
                <w:sz w:val="24"/>
                <w:szCs w:val="24"/>
              </w:rPr>
              <w:t>的供需缺口所推动。（来源：SMM）</w:t>
            </w:r>
          </w:p>
        </w:tc>
      </w:tr>
    </w:tbl>
    <w:p w14:paraId="61703EAB" w14:textId="77777777" w:rsidR="00E91428" w:rsidRDefault="00E91428">
      <w:pPr>
        <w:pStyle w:val="19"/>
        <w:widowControl/>
        <w:tabs>
          <w:tab w:val="left" w:pos="720"/>
        </w:tabs>
        <w:spacing w:line="300" w:lineRule="auto"/>
        <w:ind w:left="720" w:firstLineChars="0" w:firstLine="0"/>
        <w:jc w:val="left"/>
        <w:rPr>
          <w:rFonts w:ascii="宋体" w:hAnsi="宋体"/>
          <w:kern w:val="0"/>
          <w:sz w:val="20"/>
        </w:rPr>
      </w:pPr>
      <w:bookmarkStart w:id="3" w:name="_Hlk505344099"/>
    </w:p>
    <w:p w14:paraId="2A210595" w14:textId="77777777" w:rsidR="00E91428" w:rsidRDefault="00E91428">
      <w:pPr>
        <w:pStyle w:val="19"/>
        <w:widowControl/>
        <w:tabs>
          <w:tab w:val="left" w:pos="720"/>
        </w:tabs>
        <w:spacing w:line="300" w:lineRule="auto"/>
        <w:ind w:left="720" w:firstLineChars="0" w:firstLine="0"/>
        <w:jc w:val="left"/>
        <w:rPr>
          <w:rFonts w:ascii="宋体" w:hAnsi="宋体"/>
          <w:kern w:val="0"/>
          <w:sz w:val="20"/>
        </w:rPr>
      </w:pPr>
    </w:p>
    <w:p w14:paraId="4FDFE857"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5BE128D2"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67E7EA9C"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47205935"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3F0B2DBB"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2AE632DB"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5C39BFD1"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2E80A0F9"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17AC4774"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473DDC32" w14:textId="77777777" w:rsidR="00C94FA8" w:rsidRDefault="00C94FA8">
      <w:pPr>
        <w:pStyle w:val="19"/>
        <w:widowControl/>
        <w:tabs>
          <w:tab w:val="left" w:pos="720"/>
        </w:tabs>
        <w:spacing w:line="300" w:lineRule="auto"/>
        <w:ind w:left="720" w:firstLineChars="0" w:firstLine="0"/>
        <w:jc w:val="left"/>
        <w:rPr>
          <w:rFonts w:ascii="宋体" w:hAnsi="宋体"/>
          <w:kern w:val="0"/>
          <w:sz w:val="20"/>
        </w:rPr>
      </w:pPr>
    </w:p>
    <w:p w14:paraId="2B3546B4" w14:textId="77777777" w:rsidR="00C94FA8" w:rsidRDefault="00C94FA8">
      <w:pPr>
        <w:pStyle w:val="19"/>
        <w:widowControl/>
        <w:tabs>
          <w:tab w:val="left" w:pos="720"/>
        </w:tabs>
        <w:spacing w:line="300" w:lineRule="auto"/>
        <w:ind w:left="720" w:firstLineChars="0" w:firstLine="0"/>
        <w:jc w:val="left"/>
        <w:rPr>
          <w:rFonts w:ascii="宋体" w:hAnsi="宋体" w:hint="eastAsia"/>
          <w:kern w:val="0"/>
          <w:sz w:val="20"/>
        </w:rPr>
      </w:pPr>
    </w:p>
    <w:p w14:paraId="35E62761" w14:textId="77777777" w:rsidR="00E91428" w:rsidRDefault="00E510D6">
      <w:pPr>
        <w:pStyle w:val="19"/>
        <w:widowControl/>
        <w:numPr>
          <w:ilvl w:val="0"/>
          <w:numId w:val="1"/>
        </w:numPr>
        <w:spacing w:line="300" w:lineRule="auto"/>
        <w:ind w:firstLineChars="0"/>
        <w:jc w:val="left"/>
        <w:rPr>
          <w:b/>
          <w:sz w:val="28"/>
        </w:rPr>
      </w:pPr>
      <w:r>
        <w:rPr>
          <w:rFonts w:hint="eastAsia"/>
          <w:b/>
          <w:sz w:val="28"/>
          <w:szCs w:val="22"/>
        </w:rPr>
        <w:lastRenderedPageBreak/>
        <w:t>现货价格变动及主力</w:t>
      </w:r>
      <w:r>
        <w:rPr>
          <w:rFonts w:hint="eastAsia"/>
          <w:b/>
          <w:sz w:val="28"/>
        </w:rPr>
        <w:t>合约期现</w:t>
      </w:r>
      <w:bookmarkEnd w:id="3"/>
      <w:r>
        <w:rPr>
          <w:rFonts w:hint="eastAsia"/>
          <w:b/>
          <w:sz w:val="28"/>
        </w:rPr>
        <w:t>差</w:t>
      </w:r>
    </w:p>
    <w:tbl>
      <w:tblPr>
        <w:tblW w:w="6560" w:type="dxa"/>
        <w:jc w:val="center"/>
        <w:tblLook w:val="04A0" w:firstRow="1" w:lastRow="0" w:firstColumn="1" w:lastColumn="0" w:noHBand="0" w:noVBand="1"/>
      </w:tblPr>
      <w:tblGrid>
        <w:gridCol w:w="820"/>
        <w:gridCol w:w="1000"/>
        <w:gridCol w:w="940"/>
        <w:gridCol w:w="1000"/>
        <w:gridCol w:w="820"/>
        <w:gridCol w:w="1040"/>
        <w:gridCol w:w="940"/>
      </w:tblGrid>
      <w:tr w:rsidR="00C94FA8" w:rsidRPr="00C94FA8" w14:paraId="5AE69EEB" w14:textId="77777777" w:rsidTr="00C94FA8">
        <w:trPr>
          <w:trHeight w:val="405"/>
          <w:jc w:val="center"/>
        </w:trPr>
        <w:tc>
          <w:tcPr>
            <w:tcW w:w="6560" w:type="dxa"/>
            <w:gridSpan w:val="7"/>
            <w:tcBorders>
              <w:top w:val="single" w:sz="4" w:space="0" w:color="FF0000"/>
              <w:left w:val="single" w:sz="4" w:space="0" w:color="FF0000"/>
              <w:bottom w:val="single" w:sz="4" w:space="0" w:color="FF0000"/>
              <w:right w:val="single" w:sz="4" w:space="0" w:color="FF0000"/>
            </w:tcBorders>
            <w:shd w:val="clear" w:color="000000" w:fill="F79646"/>
            <w:vAlign w:val="bottom"/>
            <w:hideMark/>
          </w:tcPr>
          <w:p w14:paraId="598192B9" w14:textId="77777777" w:rsidR="00C94FA8" w:rsidRPr="00C94FA8" w:rsidRDefault="00C94FA8" w:rsidP="00C94FA8">
            <w:pPr>
              <w:widowControl/>
              <w:jc w:val="center"/>
              <w:rPr>
                <w:rFonts w:ascii="宋体" w:hAnsi="宋体" w:cs="宋体"/>
                <w:b/>
                <w:bCs/>
                <w:kern w:val="0"/>
                <w:sz w:val="24"/>
                <w:szCs w:val="24"/>
              </w:rPr>
            </w:pPr>
            <w:r w:rsidRPr="00C94FA8">
              <w:rPr>
                <w:rFonts w:ascii="宋体" w:hAnsi="宋体" w:cs="宋体" w:hint="eastAsia"/>
                <w:b/>
                <w:bCs/>
                <w:kern w:val="0"/>
                <w:sz w:val="24"/>
                <w:szCs w:val="24"/>
              </w:rPr>
              <w:t>2019/2/18</w:t>
            </w:r>
          </w:p>
        </w:tc>
      </w:tr>
      <w:tr w:rsidR="00C94FA8" w:rsidRPr="00C94FA8" w14:paraId="3FD9A678" w14:textId="77777777" w:rsidTr="00C94FA8">
        <w:trPr>
          <w:trHeight w:val="285"/>
          <w:jc w:val="center"/>
        </w:trPr>
        <w:tc>
          <w:tcPr>
            <w:tcW w:w="820" w:type="dxa"/>
            <w:vMerge w:val="restart"/>
            <w:tcBorders>
              <w:top w:val="nil"/>
              <w:left w:val="single" w:sz="4" w:space="0" w:color="FF0000"/>
              <w:bottom w:val="dashed" w:sz="4" w:space="0" w:color="FF0000"/>
              <w:right w:val="dashed" w:sz="4" w:space="0" w:color="FF0000"/>
            </w:tcBorders>
            <w:shd w:val="clear" w:color="000000" w:fill="F79646"/>
            <w:vAlign w:val="bottom"/>
            <w:hideMark/>
          </w:tcPr>
          <w:p w14:paraId="5C6B83CC"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 xml:space="preserve">　</w:t>
            </w:r>
          </w:p>
        </w:tc>
        <w:tc>
          <w:tcPr>
            <w:tcW w:w="1940" w:type="dxa"/>
            <w:gridSpan w:val="2"/>
            <w:tcBorders>
              <w:top w:val="nil"/>
              <w:left w:val="nil"/>
              <w:bottom w:val="dashed" w:sz="4" w:space="0" w:color="FF0000"/>
              <w:right w:val="dashed" w:sz="4" w:space="0" w:color="FF0000"/>
            </w:tcBorders>
            <w:shd w:val="clear" w:color="000000" w:fill="F79646"/>
            <w:vAlign w:val="bottom"/>
            <w:hideMark/>
          </w:tcPr>
          <w:p w14:paraId="23AC0E90"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现货价格</w:t>
            </w:r>
          </w:p>
        </w:tc>
        <w:tc>
          <w:tcPr>
            <w:tcW w:w="1000" w:type="dxa"/>
            <w:tcBorders>
              <w:top w:val="nil"/>
              <w:left w:val="nil"/>
              <w:bottom w:val="dashed" w:sz="4" w:space="0" w:color="FF0000"/>
              <w:right w:val="dashed" w:sz="4" w:space="0" w:color="FF0000"/>
            </w:tcBorders>
            <w:shd w:val="clear" w:color="000000" w:fill="F79646"/>
            <w:vAlign w:val="bottom"/>
            <w:hideMark/>
          </w:tcPr>
          <w:p w14:paraId="1AB781E8"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 xml:space="preserve">　</w:t>
            </w:r>
          </w:p>
        </w:tc>
        <w:tc>
          <w:tcPr>
            <w:tcW w:w="820" w:type="dxa"/>
            <w:vMerge w:val="restart"/>
            <w:tcBorders>
              <w:top w:val="nil"/>
              <w:left w:val="dashed" w:sz="4" w:space="0" w:color="FF0000"/>
              <w:bottom w:val="dashed" w:sz="4" w:space="0" w:color="FF0000"/>
              <w:right w:val="dashed" w:sz="4" w:space="0" w:color="FF0000"/>
            </w:tcBorders>
            <w:shd w:val="clear" w:color="000000" w:fill="F79646"/>
            <w:vAlign w:val="bottom"/>
            <w:hideMark/>
          </w:tcPr>
          <w:p w14:paraId="0CFF61B9"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主力合约价格</w:t>
            </w:r>
          </w:p>
        </w:tc>
        <w:tc>
          <w:tcPr>
            <w:tcW w:w="1040" w:type="dxa"/>
            <w:vMerge w:val="restart"/>
            <w:tcBorders>
              <w:top w:val="nil"/>
              <w:left w:val="dashed" w:sz="4" w:space="0" w:color="FF0000"/>
              <w:bottom w:val="dashed" w:sz="4" w:space="0" w:color="FF0000"/>
              <w:right w:val="dashed" w:sz="4" w:space="0" w:color="FF0000"/>
            </w:tcBorders>
            <w:shd w:val="clear" w:color="000000" w:fill="F79646"/>
            <w:vAlign w:val="bottom"/>
            <w:hideMark/>
          </w:tcPr>
          <w:p w14:paraId="3C54B1C7"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期现价差</w:t>
            </w:r>
          </w:p>
        </w:tc>
        <w:tc>
          <w:tcPr>
            <w:tcW w:w="940" w:type="dxa"/>
            <w:vMerge w:val="restart"/>
            <w:tcBorders>
              <w:top w:val="nil"/>
              <w:left w:val="dashed" w:sz="4" w:space="0" w:color="FF0000"/>
              <w:bottom w:val="dashed" w:sz="4" w:space="0" w:color="FF0000"/>
              <w:right w:val="single" w:sz="4" w:space="0" w:color="FF0000"/>
            </w:tcBorders>
            <w:shd w:val="clear" w:color="000000" w:fill="F79646"/>
            <w:vAlign w:val="bottom"/>
            <w:hideMark/>
          </w:tcPr>
          <w:p w14:paraId="1834E248"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主力合约月份</w:t>
            </w:r>
          </w:p>
        </w:tc>
      </w:tr>
      <w:tr w:rsidR="00C94FA8" w:rsidRPr="00C94FA8" w14:paraId="5B026D26" w14:textId="77777777" w:rsidTr="00C94FA8">
        <w:trPr>
          <w:trHeight w:val="345"/>
          <w:jc w:val="center"/>
        </w:trPr>
        <w:tc>
          <w:tcPr>
            <w:tcW w:w="820" w:type="dxa"/>
            <w:vMerge/>
            <w:tcBorders>
              <w:top w:val="nil"/>
              <w:left w:val="single" w:sz="4" w:space="0" w:color="FF0000"/>
              <w:bottom w:val="dashed" w:sz="4" w:space="0" w:color="FF0000"/>
              <w:right w:val="dashed" w:sz="4" w:space="0" w:color="FF0000"/>
            </w:tcBorders>
            <w:vAlign w:val="center"/>
            <w:hideMark/>
          </w:tcPr>
          <w:p w14:paraId="1BD419EB" w14:textId="77777777" w:rsidR="00C94FA8" w:rsidRPr="00C94FA8" w:rsidRDefault="00C94FA8" w:rsidP="00C94FA8">
            <w:pPr>
              <w:widowControl/>
              <w:jc w:val="left"/>
              <w:rPr>
                <w:rFonts w:ascii="宋体" w:hAnsi="宋体" w:cs="宋体"/>
                <w:b/>
                <w:bCs/>
                <w:kern w:val="0"/>
                <w:sz w:val="22"/>
                <w:szCs w:val="22"/>
              </w:rPr>
            </w:pPr>
          </w:p>
        </w:tc>
        <w:tc>
          <w:tcPr>
            <w:tcW w:w="1000" w:type="dxa"/>
            <w:tcBorders>
              <w:top w:val="nil"/>
              <w:left w:val="nil"/>
              <w:bottom w:val="dashed" w:sz="4" w:space="0" w:color="FF0000"/>
              <w:right w:val="dashed" w:sz="4" w:space="0" w:color="FF0000"/>
            </w:tcBorders>
            <w:shd w:val="clear" w:color="000000" w:fill="F79646"/>
            <w:vAlign w:val="bottom"/>
            <w:hideMark/>
          </w:tcPr>
          <w:p w14:paraId="32F31B6C"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昨日</w:t>
            </w:r>
          </w:p>
        </w:tc>
        <w:tc>
          <w:tcPr>
            <w:tcW w:w="940" w:type="dxa"/>
            <w:tcBorders>
              <w:top w:val="nil"/>
              <w:left w:val="nil"/>
              <w:bottom w:val="dashed" w:sz="4" w:space="0" w:color="FF0000"/>
              <w:right w:val="dashed" w:sz="4" w:space="0" w:color="FF0000"/>
            </w:tcBorders>
            <w:shd w:val="clear" w:color="000000" w:fill="F79646"/>
            <w:vAlign w:val="bottom"/>
            <w:hideMark/>
          </w:tcPr>
          <w:p w14:paraId="336FC9EA"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今日</w:t>
            </w:r>
          </w:p>
        </w:tc>
        <w:tc>
          <w:tcPr>
            <w:tcW w:w="1000" w:type="dxa"/>
            <w:tcBorders>
              <w:top w:val="nil"/>
              <w:left w:val="nil"/>
              <w:bottom w:val="dashed" w:sz="4" w:space="0" w:color="FF0000"/>
              <w:right w:val="dashed" w:sz="4" w:space="0" w:color="FF0000"/>
            </w:tcBorders>
            <w:shd w:val="clear" w:color="000000" w:fill="F79646"/>
            <w:vAlign w:val="bottom"/>
            <w:hideMark/>
          </w:tcPr>
          <w:p w14:paraId="62A1DB04" w14:textId="77777777" w:rsidR="00C94FA8" w:rsidRPr="00C94FA8" w:rsidRDefault="00C94FA8" w:rsidP="00C94FA8">
            <w:pPr>
              <w:widowControl/>
              <w:jc w:val="center"/>
              <w:rPr>
                <w:rFonts w:ascii="宋体" w:hAnsi="宋体" w:cs="宋体" w:hint="eastAsia"/>
                <w:b/>
                <w:bCs/>
                <w:kern w:val="0"/>
                <w:sz w:val="22"/>
                <w:szCs w:val="22"/>
              </w:rPr>
            </w:pPr>
            <w:r w:rsidRPr="00C94FA8">
              <w:rPr>
                <w:rFonts w:ascii="宋体" w:hAnsi="宋体" w:cs="宋体" w:hint="eastAsia"/>
                <w:b/>
                <w:bCs/>
                <w:kern w:val="0"/>
                <w:sz w:val="22"/>
                <w:szCs w:val="22"/>
              </w:rPr>
              <w:t>变动</w:t>
            </w:r>
          </w:p>
        </w:tc>
        <w:tc>
          <w:tcPr>
            <w:tcW w:w="820" w:type="dxa"/>
            <w:vMerge/>
            <w:tcBorders>
              <w:top w:val="nil"/>
              <w:left w:val="dashed" w:sz="4" w:space="0" w:color="FF0000"/>
              <w:bottom w:val="dashed" w:sz="4" w:space="0" w:color="FF0000"/>
              <w:right w:val="dashed" w:sz="4" w:space="0" w:color="FF0000"/>
            </w:tcBorders>
            <w:vAlign w:val="center"/>
            <w:hideMark/>
          </w:tcPr>
          <w:p w14:paraId="765C0D74" w14:textId="77777777" w:rsidR="00C94FA8" w:rsidRPr="00C94FA8" w:rsidRDefault="00C94FA8" w:rsidP="00C94FA8">
            <w:pPr>
              <w:widowControl/>
              <w:jc w:val="left"/>
              <w:rPr>
                <w:rFonts w:ascii="宋体" w:hAnsi="宋体" w:cs="宋体"/>
                <w:b/>
                <w:bCs/>
                <w:kern w:val="0"/>
                <w:sz w:val="22"/>
                <w:szCs w:val="22"/>
              </w:rPr>
            </w:pPr>
          </w:p>
        </w:tc>
        <w:tc>
          <w:tcPr>
            <w:tcW w:w="1040" w:type="dxa"/>
            <w:vMerge/>
            <w:tcBorders>
              <w:top w:val="nil"/>
              <w:left w:val="dashed" w:sz="4" w:space="0" w:color="FF0000"/>
              <w:bottom w:val="dashed" w:sz="4" w:space="0" w:color="FF0000"/>
              <w:right w:val="dashed" w:sz="4" w:space="0" w:color="FF0000"/>
            </w:tcBorders>
            <w:vAlign w:val="center"/>
            <w:hideMark/>
          </w:tcPr>
          <w:p w14:paraId="447D15A6" w14:textId="77777777" w:rsidR="00C94FA8" w:rsidRPr="00C94FA8" w:rsidRDefault="00C94FA8" w:rsidP="00C94FA8">
            <w:pPr>
              <w:widowControl/>
              <w:jc w:val="left"/>
              <w:rPr>
                <w:rFonts w:ascii="宋体" w:hAnsi="宋体" w:cs="宋体"/>
                <w:b/>
                <w:bCs/>
                <w:kern w:val="0"/>
                <w:sz w:val="22"/>
                <w:szCs w:val="22"/>
              </w:rPr>
            </w:pPr>
          </w:p>
        </w:tc>
        <w:tc>
          <w:tcPr>
            <w:tcW w:w="940" w:type="dxa"/>
            <w:vMerge/>
            <w:tcBorders>
              <w:top w:val="nil"/>
              <w:left w:val="dashed" w:sz="4" w:space="0" w:color="FF0000"/>
              <w:bottom w:val="dashed" w:sz="4" w:space="0" w:color="FF0000"/>
              <w:right w:val="single" w:sz="4" w:space="0" w:color="FF0000"/>
            </w:tcBorders>
            <w:vAlign w:val="center"/>
            <w:hideMark/>
          </w:tcPr>
          <w:p w14:paraId="0DB45A8C" w14:textId="77777777" w:rsidR="00C94FA8" w:rsidRPr="00C94FA8" w:rsidRDefault="00C94FA8" w:rsidP="00C94FA8">
            <w:pPr>
              <w:widowControl/>
              <w:jc w:val="left"/>
              <w:rPr>
                <w:rFonts w:ascii="宋体" w:hAnsi="宋体" w:cs="宋体"/>
                <w:b/>
                <w:bCs/>
                <w:kern w:val="0"/>
                <w:sz w:val="22"/>
                <w:szCs w:val="22"/>
              </w:rPr>
            </w:pPr>
          </w:p>
        </w:tc>
      </w:tr>
      <w:tr w:rsidR="00C94FA8" w:rsidRPr="00C94FA8" w14:paraId="59C569F0"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07221ECE"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螺纹钢</w:t>
            </w:r>
          </w:p>
        </w:tc>
        <w:tc>
          <w:tcPr>
            <w:tcW w:w="1000" w:type="dxa"/>
            <w:tcBorders>
              <w:top w:val="nil"/>
              <w:left w:val="nil"/>
              <w:bottom w:val="dashed" w:sz="4" w:space="0" w:color="FF0000"/>
              <w:right w:val="dashed" w:sz="4" w:space="0" w:color="FF0000"/>
            </w:tcBorders>
            <w:shd w:val="clear" w:color="auto" w:fill="auto"/>
            <w:vAlign w:val="bottom"/>
            <w:hideMark/>
          </w:tcPr>
          <w:p w14:paraId="430469B3" w14:textId="77777777" w:rsidR="00C94FA8" w:rsidRPr="00C94FA8" w:rsidRDefault="00C94FA8" w:rsidP="00C94FA8">
            <w:pPr>
              <w:widowControl/>
              <w:jc w:val="center"/>
              <w:rPr>
                <w:rFonts w:hint="eastAsia"/>
                <w:kern w:val="0"/>
                <w:sz w:val="18"/>
                <w:szCs w:val="18"/>
              </w:rPr>
            </w:pPr>
            <w:r w:rsidRPr="00C94FA8">
              <w:rPr>
                <w:kern w:val="0"/>
                <w:sz w:val="18"/>
                <w:szCs w:val="18"/>
              </w:rPr>
              <w:t>3840</w:t>
            </w:r>
          </w:p>
        </w:tc>
        <w:tc>
          <w:tcPr>
            <w:tcW w:w="940" w:type="dxa"/>
            <w:tcBorders>
              <w:top w:val="nil"/>
              <w:left w:val="nil"/>
              <w:bottom w:val="dashed" w:sz="4" w:space="0" w:color="FF0000"/>
              <w:right w:val="dashed" w:sz="4" w:space="0" w:color="FF0000"/>
            </w:tcBorders>
            <w:shd w:val="clear" w:color="auto" w:fill="auto"/>
            <w:vAlign w:val="bottom"/>
            <w:hideMark/>
          </w:tcPr>
          <w:p w14:paraId="1B57DFF5" w14:textId="77777777" w:rsidR="00C94FA8" w:rsidRPr="00C94FA8" w:rsidRDefault="00C94FA8" w:rsidP="00C94FA8">
            <w:pPr>
              <w:widowControl/>
              <w:jc w:val="center"/>
              <w:rPr>
                <w:kern w:val="0"/>
                <w:sz w:val="18"/>
                <w:szCs w:val="18"/>
              </w:rPr>
            </w:pPr>
            <w:r w:rsidRPr="00C94FA8">
              <w:rPr>
                <w:kern w:val="0"/>
                <w:sz w:val="18"/>
                <w:szCs w:val="18"/>
              </w:rPr>
              <w:t xml:space="preserve">3810 </w:t>
            </w:r>
          </w:p>
        </w:tc>
        <w:tc>
          <w:tcPr>
            <w:tcW w:w="1000" w:type="dxa"/>
            <w:tcBorders>
              <w:top w:val="nil"/>
              <w:left w:val="nil"/>
              <w:bottom w:val="dashed" w:sz="4" w:space="0" w:color="FF0000"/>
              <w:right w:val="dashed" w:sz="4" w:space="0" w:color="FF0000"/>
            </w:tcBorders>
            <w:shd w:val="clear" w:color="auto" w:fill="auto"/>
            <w:vAlign w:val="bottom"/>
            <w:hideMark/>
          </w:tcPr>
          <w:p w14:paraId="15376B03" w14:textId="77777777" w:rsidR="00C94FA8" w:rsidRPr="00C94FA8" w:rsidRDefault="00C94FA8" w:rsidP="00C94FA8">
            <w:pPr>
              <w:widowControl/>
              <w:jc w:val="right"/>
              <w:rPr>
                <w:kern w:val="0"/>
                <w:sz w:val="18"/>
                <w:szCs w:val="18"/>
              </w:rPr>
            </w:pPr>
            <w:r w:rsidRPr="00C94FA8">
              <w:rPr>
                <w:kern w:val="0"/>
                <w:sz w:val="18"/>
                <w:szCs w:val="18"/>
              </w:rPr>
              <w:t>-0.78%</w:t>
            </w:r>
          </w:p>
        </w:tc>
        <w:tc>
          <w:tcPr>
            <w:tcW w:w="820" w:type="dxa"/>
            <w:tcBorders>
              <w:top w:val="nil"/>
              <w:left w:val="nil"/>
              <w:bottom w:val="dashed" w:sz="4" w:space="0" w:color="FF0000"/>
              <w:right w:val="dashed" w:sz="4" w:space="0" w:color="FF0000"/>
            </w:tcBorders>
            <w:shd w:val="clear" w:color="auto" w:fill="auto"/>
            <w:noWrap/>
            <w:vAlign w:val="bottom"/>
            <w:hideMark/>
          </w:tcPr>
          <w:p w14:paraId="0A10FDA0" w14:textId="77777777" w:rsidR="00C94FA8" w:rsidRPr="00C94FA8" w:rsidRDefault="00C94FA8" w:rsidP="00C94FA8">
            <w:pPr>
              <w:widowControl/>
              <w:jc w:val="center"/>
              <w:rPr>
                <w:kern w:val="0"/>
                <w:sz w:val="18"/>
                <w:szCs w:val="18"/>
              </w:rPr>
            </w:pPr>
            <w:r w:rsidRPr="00C94FA8">
              <w:rPr>
                <w:kern w:val="0"/>
                <w:sz w:val="18"/>
                <w:szCs w:val="18"/>
              </w:rPr>
              <w:t>3658</w:t>
            </w:r>
          </w:p>
        </w:tc>
        <w:tc>
          <w:tcPr>
            <w:tcW w:w="1040" w:type="dxa"/>
            <w:tcBorders>
              <w:top w:val="nil"/>
              <w:left w:val="nil"/>
              <w:bottom w:val="dashed" w:sz="4" w:space="0" w:color="FF0000"/>
              <w:right w:val="dashed" w:sz="4" w:space="0" w:color="FF0000"/>
            </w:tcBorders>
            <w:shd w:val="clear" w:color="auto" w:fill="auto"/>
            <w:noWrap/>
            <w:vAlign w:val="bottom"/>
            <w:hideMark/>
          </w:tcPr>
          <w:p w14:paraId="48DEAB0E" w14:textId="77777777" w:rsidR="00C94FA8" w:rsidRPr="00C94FA8" w:rsidRDefault="00C94FA8" w:rsidP="00C94FA8">
            <w:pPr>
              <w:widowControl/>
              <w:jc w:val="center"/>
              <w:rPr>
                <w:kern w:val="0"/>
                <w:sz w:val="18"/>
                <w:szCs w:val="18"/>
              </w:rPr>
            </w:pPr>
            <w:r w:rsidRPr="00C94FA8">
              <w:rPr>
                <w:kern w:val="0"/>
                <w:sz w:val="18"/>
                <w:szCs w:val="18"/>
              </w:rPr>
              <w:t xml:space="preserve">-152 </w:t>
            </w:r>
          </w:p>
        </w:tc>
        <w:tc>
          <w:tcPr>
            <w:tcW w:w="940" w:type="dxa"/>
            <w:tcBorders>
              <w:top w:val="nil"/>
              <w:left w:val="nil"/>
              <w:bottom w:val="dashed" w:sz="4" w:space="0" w:color="FF0000"/>
              <w:right w:val="single" w:sz="4" w:space="0" w:color="FF0000"/>
            </w:tcBorders>
            <w:shd w:val="clear" w:color="auto" w:fill="auto"/>
            <w:vAlign w:val="bottom"/>
            <w:hideMark/>
          </w:tcPr>
          <w:p w14:paraId="21552050"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5EADC915"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057E03F8"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铁矿石</w:t>
            </w:r>
          </w:p>
        </w:tc>
        <w:tc>
          <w:tcPr>
            <w:tcW w:w="1000" w:type="dxa"/>
            <w:tcBorders>
              <w:top w:val="nil"/>
              <w:left w:val="nil"/>
              <w:bottom w:val="dashed" w:sz="4" w:space="0" w:color="FF0000"/>
              <w:right w:val="dashed" w:sz="4" w:space="0" w:color="FF0000"/>
            </w:tcBorders>
            <w:shd w:val="clear" w:color="auto" w:fill="auto"/>
            <w:vAlign w:val="bottom"/>
            <w:hideMark/>
          </w:tcPr>
          <w:p w14:paraId="4E6AE429" w14:textId="77777777" w:rsidR="00C94FA8" w:rsidRPr="00C94FA8" w:rsidRDefault="00C94FA8" w:rsidP="00C94FA8">
            <w:pPr>
              <w:widowControl/>
              <w:jc w:val="center"/>
              <w:rPr>
                <w:rFonts w:hint="eastAsia"/>
                <w:kern w:val="0"/>
                <w:sz w:val="18"/>
                <w:szCs w:val="18"/>
              </w:rPr>
            </w:pPr>
            <w:r w:rsidRPr="00C94FA8">
              <w:rPr>
                <w:kern w:val="0"/>
                <w:sz w:val="18"/>
                <w:szCs w:val="18"/>
              </w:rPr>
              <w:t xml:space="preserve">724 </w:t>
            </w:r>
          </w:p>
        </w:tc>
        <w:tc>
          <w:tcPr>
            <w:tcW w:w="940" w:type="dxa"/>
            <w:tcBorders>
              <w:top w:val="nil"/>
              <w:left w:val="nil"/>
              <w:bottom w:val="dashed" w:sz="4" w:space="0" w:color="FF0000"/>
              <w:right w:val="dashed" w:sz="4" w:space="0" w:color="FF0000"/>
            </w:tcBorders>
            <w:shd w:val="clear" w:color="auto" w:fill="auto"/>
            <w:vAlign w:val="bottom"/>
            <w:hideMark/>
          </w:tcPr>
          <w:p w14:paraId="75BFD308" w14:textId="77777777" w:rsidR="00C94FA8" w:rsidRPr="00C94FA8" w:rsidRDefault="00C94FA8" w:rsidP="00C94FA8">
            <w:pPr>
              <w:widowControl/>
              <w:jc w:val="center"/>
              <w:rPr>
                <w:kern w:val="0"/>
                <w:sz w:val="18"/>
                <w:szCs w:val="18"/>
              </w:rPr>
            </w:pPr>
            <w:r w:rsidRPr="00C94FA8">
              <w:rPr>
                <w:kern w:val="0"/>
                <w:sz w:val="18"/>
                <w:szCs w:val="18"/>
              </w:rPr>
              <w:t xml:space="preserve">720 </w:t>
            </w:r>
          </w:p>
        </w:tc>
        <w:tc>
          <w:tcPr>
            <w:tcW w:w="1000" w:type="dxa"/>
            <w:tcBorders>
              <w:top w:val="nil"/>
              <w:left w:val="nil"/>
              <w:bottom w:val="dashed" w:sz="4" w:space="0" w:color="FF0000"/>
              <w:right w:val="dashed" w:sz="4" w:space="0" w:color="FF0000"/>
            </w:tcBorders>
            <w:shd w:val="clear" w:color="auto" w:fill="auto"/>
            <w:vAlign w:val="bottom"/>
            <w:hideMark/>
          </w:tcPr>
          <w:p w14:paraId="5B0FC773" w14:textId="77777777" w:rsidR="00C94FA8" w:rsidRPr="00C94FA8" w:rsidRDefault="00C94FA8" w:rsidP="00C94FA8">
            <w:pPr>
              <w:widowControl/>
              <w:jc w:val="right"/>
              <w:rPr>
                <w:kern w:val="0"/>
                <w:sz w:val="18"/>
                <w:szCs w:val="18"/>
              </w:rPr>
            </w:pPr>
            <w:r w:rsidRPr="00C94FA8">
              <w:rPr>
                <w:kern w:val="0"/>
                <w:sz w:val="18"/>
                <w:szCs w:val="18"/>
              </w:rPr>
              <w:t>-0.60%</w:t>
            </w:r>
          </w:p>
        </w:tc>
        <w:tc>
          <w:tcPr>
            <w:tcW w:w="820" w:type="dxa"/>
            <w:tcBorders>
              <w:top w:val="nil"/>
              <w:left w:val="nil"/>
              <w:bottom w:val="dashed" w:sz="4" w:space="0" w:color="FF0000"/>
              <w:right w:val="dashed" w:sz="4" w:space="0" w:color="FF0000"/>
            </w:tcBorders>
            <w:shd w:val="clear" w:color="auto" w:fill="auto"/>
            <w:noWrap/>
            <w:vAlign w:val="bottom"/>
            <w:hideMark/>
          </w:tcPr>
          <w:p w14:paraId="07637633" w14:textId="77777777" w:rsidR="00C94FA8" w:rsidRPr="00C94FA8" w:rsidRDefault="00C94FA8" w:rsidP="00C94FA8">
            <w:pPr>
              <w:widowControl/>
              <w:jc w:val="center"/>
              <w:rPr>
                <w:kern w:val="0"/>
                <w:sz w:val="18"/>
                <w:szCs w:val="18"/>
              </w:rPr>
            </w:pPr>
            <w:r w:rsidRPr="00C94FA8">
              <w:rPr>
                <w:kern w:val="0"/>
                <w:sz w:val="18"/>
                <w:szCs w:val="18"/>
              </w:rPr>
              <w:t>638.5</w:t>
            </w:r>
          </w:p>
        </w:tc>
        <w:tc>
          <w:tcPr>
            <w:tcW w:w="1040" w:type="dxa"/>
            <w:tcBorders>
              <w:top w:val="nil"/>
              <w:left w:val="nil"/>
              <w:bottom w:val="dashed" w:sz="4" w:space="0" w:color="FF0000"/>
              <w:right w:val="dashed" w:sz="4" w:space="0" w:color="FF0000"/>
            </w:tcBorders>
            <w:shd w:val="clear" w:color="auto" w:fill="auto"/>
            <w:noWrap/>
            <w:vAlign w:val="bottom"/>
            <w:hideMark/>
          </w:tcPr>
          <w:p w14:paraId="0DBA39D4" w14:textId="77777777" w:rsidR="00C94FA8" w:rsidRPr="00C94FA8" w:rsidRDefault="00C94FA8" w:rsidP="00C94FA8">
            <w:pPr>
              <w:widowControl/>
              <w:jc w:val="center"/>
              <w:rPr>
                <w:kern w:val="0"/>
                <w:sz w:val="18"/>
                <w:szCs w:val="18"/>
              </w:rPr>
            </w:pPr>
            <w:r w:rsidRPr="00C94FA8">
              <w:rPr>
                <w:kern w:val="0"/>
                <w:sz w:val="18"/>
                <w:szCs w:val="18"/>
              </w:rPr>
              <w:t xml:space="preserve">-81 </w:t>
            </w:r>
          </w:p>
        </w:tc>
        <w:tc>
          <w:tcPr>
            <w:tcW w:w="940" w:type="dxa"/>
            <w:tcBorders>
              <w:top w:val="nil"/>
              <w:left w:val="nil"/>
              <w:bottom w:val="dashed" w:sz="4" w:space="0" w:color="FF0000"/>
              <w:right w:val="single" w:sz="4" w:space="0" w:color="FF0000"/>
            </w:tcBorders>
            <w:shd w:val="clear" w:color="auto" w:fill="auto"/>
            <w:vAlign w:val="bottom"/>
            <w:hideMark/>
          </w:tcPr>
          <w:p w14:paraId="3C492F71"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5CB9F6ED"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4C080BF6"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焦  炭</w:t>
            </w:r>
          </w:p>
        </w:tc>
        <w:tc>
          <w:tcPr>
            <w:tcW w:w="1000" w:type="dxa"/>
            <w:tcBorders>
              <w:top w:val="nil"/>
              <w:left w:val="nil"/>
              <w:bottom w:val="dashed" w:sz="4" w:space="0" w:color="FF0000"/>
              <w:right w:val="dashed" w:sz="4" w:space="0" w:color="FF0000"/>
            </w:tcBorders>
            <w:shd w:val="clear" w:color="auto" w:fill="auto"/>
            <w:vAlign w:val="bottom"/>
            <w:hideMark/>
          </w:tcPr>
          <w:p w14:paraId="6BBFB455" w14:textId="77777777" w:rsidR="00C94FA8" w:rsidRPr="00C94FA8" w:rsidRDefault="00C94FA8" w:rsidP="00C94FA8">
            <w:pPr>
              <w:widowControl/>
              <w:jc w:val="center"/>
              <w:rPr>
                <w:rFonts w:hint="eastAsia"/>
                <w:kern w:val="0"/>
                <w:sz w:val="18"/>
                <w:szCs w:val="18"/>
              </w:rPr>
            </w:pPr>
            <w:r w:rsidRPr="00C94FA8">
              <w:rPr>
                <w:kern w:val="0"/>
                <w:sz w:val="18"/>
                <w:szCs w:val="18"/>
              </w:rPr>
              <w:t>2250</w:t>
            </w:r>
          </w:p>
        </w:tc>
        <w:tc>
          <w:tcPr>
            <w:tcW w:w="940" w:type="dxa"/>
            <w:tcBorders>
              <w:top w:val="nil"/>
              <w:left w:val="nil"/>
              <w:bottom w:val="dashed" w:sz="4" w:space="0" w:color="FF0000"/>
              <w:right w:val="dashed" w:sz="4" w:space="0" w:color="FF0000"/>
            </w:tcBorders>
            <w:shd w:val="clear" w:color="auto" w:fill="auto"/>
            <w:vAlign w:val="bottom"/>
            <w:hideMark/>
          </w:tcPr>
          <w:p w14:paraId="34760429" w14:textId="77777777" w:rsidR="00C94FA8" w:rsidRPr="00C94FA8" w:rsidRDefault="00C94FA8" w:rsidP="00C94FA8">
            <w:pPr>
              <w:widowControl/>
              <w:jc w:val="center"/>
              <w:rPr>
                <w:kern w:val="0"/>
                <w:sz w:val="18"/>
                <w:szCs w:val="18"/>
              </w:rPr>
            </w:pPr>
            <w:r w:rsidRPr="00C94FA8">
              <w:rPr>
                <w:kern w:val="0"/>
                <w:sz w:val="18"/>
                <w:szCs w:val="18"/>
              </w:rPr>
              <w:t xml:space="preserve">2250 </w:t>
            </w:r>
          </w:p>
        </w:tc>
        <w:tc>
          <w:tcPr>
            <w:tcW w:w="1000" w:type="dxa"/>
            <w:tcBorders>
              <w:top w:val="nil"/>
              <w:left w:val="nil"/>
              <w:bottom w:val="dashed" w:sz="4" w:space="0" w:color="FF0000"/>
              <w:right w:val="dashed" w:sz="4" w:space="0" w:color="FF0000"/>
            </w:tcBorders>
            <w:shd w:val="clear" w:color="auto" w:fill="auto"/>
            <w:vAlign w:val="bottom"/>
            <w:hideMark/>
          </w:tcPr>
          <w:p w14:paraId="2E8A664C"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0E833D71" w14:textId="77777777" w:rsidR="00C94FA8" w:rsidRPr="00C94FA8" w:rsidRDefault="00C94FA8" w:rsidP="00C94FA8">
            <w:pPr>
              <w:widowControl/>
              <w:jc w:val="center"/>
              <w:rPr>
                <w:kern w:val="0"/>
                <w:sz w:val="18"/>
                <w:szCs w:val="18"/>
              </w:rPr>
            </w:pPr>
            <w:r w:rsidRPr="00C94FA8">
              <w:rPr>
                <w:kern w:val="0"/>
                <w:sz w:val="18"/>
                <w:szCs w:val="18"/>
              </w:rPr>
              <w:t>2083.5</w:t>
            </w:r>
          </w:p>
        </w:tc>
        <w:tc>
          <w:tcPr>
            <w:tcW w:w="1040" w:type="dxa"/>
            <w:tcBorders>
              <w:top w:val="nil"/>
              <w:left w:val="nil"/>
              <w:bottom w:val="dashed" w:sz="4" w:space="0" w:color="FF0000"/>
              <w:right w:val="dashed" w:sz="4" w:space="0" w:color="FF0000"/>
            </w:tcBorders>
            <w:shd w:val="clear" w:color="auto" w:fill="auto"/>
            <w:noWrap/>
            <w:vAlign w:val="bottom"/>
            <w:hideMark/>
          </w:tcPr>
          <w:p w14:paraId="5BD8C4A2" w14:textId="77777777" w:rsidR="00C94FA8" w:rsidRPr="00C94FA8" w:rsidRDefault="00C94FA8" w:rsidP="00C94FA8">
            <w:pPr>
              <w:widowControl/>
              <w:jc w:val="center"/>
              <w:rPr>
                <w:kern w:val="0"/>
                <w:sz w:val="18"/>
                <w:szCs w:val="18"/>
              </w:rPr>
            </w:pPr>
            <w:r w:rsidRPr="00C94FA8">
              <w:rPr>
                <w:kern w:val="0"/>
                <w:sz w:val="18"/>
                <w:szCs w:val="18"/>
              </w:rPr>
              <w:t xml:space="preserve">-167 </w:t>
            </w:r>
          </w:p>
        </w:tc>
        <w:tc>
          <w:tcPr>
            <w:tcW w:w="940" w:type="dxa"/>
            <w:tcBorders>
              <w:top w:val="nil"/>
              <w:left w:val="nil"/>
              <w:bottom w:val="dashed" w:sz="4" w:space="0" w:color="FF0000"/>
              <w:right w:val="single" w:sz="4" w:space="0" w:color="FF0000"/>
            </w:tcBorders>
            <w:shd w:val="clear" w:color="auto" w:fill="auto"/>
            <w:vAlign w:val="bottom"/>
            <w:hideMark/>
          </w:tcPr>
          <w:p w14:paraId="25FC579D"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1473EDCC"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6542DA95"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焦  煤</w:t>
            </w:r>
          </w:p>
        </w:tc>
        <w:tc>
          <w:tcPr>
            <w:tcW w:w="1000" w:type="dxa"/>
            <w:tcBorders>
              <w:top w:val="nil"/>
              <w:left w:val="nil"/>
              <w:bottom w:val="dashed" w:sz="4" w:space="0" w:color="FF0000"/>
              <w:right w:val="dashed" w:sz="4" w:space="0" w:color="FF0000"/>
            </w:tcBorders>
            <w:shd w:val="clear" w:color="auto" w:fill="auto"/>
            <w:vAlign w:val="bottom"/>
            <w:hideMark/>
          </w:tcPr>
          <w:p w14:paraId="50C862F7" w14:textId="77777777" w:rsidR="00C94FA8" w:rsidRPr="00C94FA8" w:rsidRDefault="00C94FA8" w:rsidP="00C94FA8">
            <w:pPr>
              <w:widowControl/>
              <w:jc w:val="center"/>
              <w:rPr>
                <w:rFonts w:hint="eastAsia"/>
                <w:kern w:val="0"/>
                <w:sz w:val="18"/>
                <w:szCs w:val="18"/>
              </w:rPr>
            </w:pPr>
            <w:r w:rsidRPr="00C94FA8">
              <w:rPr>
                <w:kern w:val="0"/>
                <w:sz w:val="18"/>
                <w:szCs w:val="18"/>
              </w:rPr>
              <w:t>1660</w:t>
            </w:r>
          </w:p>
        </w:tc>
        <w:tc>
          <w:tcPr>
            <w:tcW w:w="940" w:type="dxa"/>
            <w:tcBorders>
              <w:top w:val="nil"/>
              <w:left w:val="nil"/>
              <w:bottom w:val="dashed" w:sz="4" w:space="0" w:color="FF0000"/>
              <w:right w:val="dashed" w:sz="4" w:space="0" w:color="FF0000"/>
            </w:tcBorders>
            <w:shd w:val="clear" w:color="auto" w:fill="auto"/>
            <w:vAlign w:val="bottom"/>
            <w:hideMark/>
          </w:tcPr>
          <w:p w14:paraId="32897998" w14:textId="77777777" w:rsidR="00C94FA8" w:rsidRPr="00C94FA8" w:rsidRDefault="00C94FA8" w:rsidP="00C94FA8">
            <w:pPr>
              <w:widowControl/>
              <w:jc w:val="center"/>
              <w:rPr>
                <w:kern w:val="0"/>
                <w:sz w:val="18"/>
                <w:szCs w:val="18"/>
              </w:rPr>
            </w:pPr>
            <w:r w:rsidRPr="00C94FA8">
              <w:rPr>
                <w:kern w:val="0"/>
                <w:sz w:val="18"/>
                <w:szCs w:val="18"/>
              </w:rPr>
              <w:t xml:space="preserve">1660 </w:t>
            </w:r>
          </w:p>
        </w:tc>
        <w:tc>
          <w:tcPr>
            <w:tcW w:w="1000" w:type="dxa"/>
            <w:tcBorders>
              <w:top w:val="nil"/>
              <w:left w:val="nil"/>
              <w:bottom w:val="dashed" w:sz="4" w:space="0" w:color="FF0000"/>
              <w:right w:val="dashed" w:sz="4" w:space="0" w:color="FF0000"/>
            </w:tcBorders>
            <w:shd w:val="clear" w:color="auto" w:fill="auto"/>
            <w:vAlign w:val="bottom"/>
            <w:hideMark/>
          </w:tcPr>
          <w:p w14:paraId="5F0A8A38"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3265638E" w14:textId="77777777" w:rsidR="00C94FA8" w:rsidRPr="00C94FA8" w:rsidRDefault="00C94FA8" w:rsidP="00C94FA8">
            <w:pPr>
              <w:widowControl/>
              <w:jc w:val="center"/>
              <w:rPr>
                <w:kern w:val="0"/>
                <w:sz w:val="18"/>
                <w:szCs w:val="18"/>
              </w:rPr>
            </w:pPr>
            <w:r w:rsidRPr="00C94FA8">
              <w:rPr>
                <w:kern w:val="0"/>
                <w:sz w:val="18"/>
                <w:szCs w:val="18"/>
              </w:rPr>
              <w:t>1286.5</w:t>
            </w:r>
          </w:p>
        </w:tc>
        <w:tc>
          <w:tcPr>
            <w:tcW w:w="1040" w:type="dxa"/>
            <w:tcBorders>
              <w:top w:val="nil"/>
              <w:left w:val="nil"/>
              <w:bottom w:val="dashed" w:sz="4" w:space="0" w:color="FF0000"/>
              <w:right w:val="dashed" w:sz="4" w:space="0" w:color="FF0000"/>
            </w:tcBorders>
            <w:shd w:val="clear" w:color="auto" w:fill="auto"/>
            <w:noWrap/>
            <w:vAlign w:val="bottom"/>
            <w:hideMark/>
          </w:tcPr>
          <w:p w14:paraId="76A916EC" w14:textId="77777777" w:rsidR="00C94FA8" w:rsidRPr="00C94FA8" w:rsidRDefault="00C94FA8" w:rsidP="00C94FA8">
            <w:pPr>
              <w:widowControl/>
              <w:jc w:val="center"/>
              <w:rPr>
                <w:kern w:val="0"/>
                <w:sz w:val="18"/>
                <w:szCs w:val="18"/>
              </w:rPr>
            </w:pPr>
            <w:r w:rsidRPr="00C94FA8">
              <w:rPr>
                <w:kern w:val="0"/>
                <w:sz w:val="18"/>
                <w:szCs w:val="18"/>
              </w:rPr>
              <w:t xml:space="preserve">-374 </w:t>
            </w:r>
          </w:p>
        </w:tc>
        <w:tc>
          <w:tcPr>
            <w:tcW w:w="940" w:type="dxa"/>
            <w:tcBorders>
              <w:top w:val="nil"/>
              <w:left w:val="nil"/>
              <w:bottom w:val="dashed" w:sz="4" w:space="0" w:color="FF0000"/>
              <w:right w:val="single" w:sz="4" w:space="0" w:color="FF0000"/>
            </w:tcBorders>
            <w:shd w:val="clear" w:color="auto" w:fill="auto"/>
            <w:vAlign w:val="bottom"/>
            <w:hideMark/>
          </w:tcPr>
          <w:p w14:paraId="4FE161DB"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169C9E05"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3E76596A" w14:textId="77777777" w:rsidR="00C94FA8" w:rsidRPr="00C94FA8" w:rsidRDefault="00C94FA8" w:rsidP="00C94FA8">
            <w:pPr>
              <w:widowControl/>
              <w:jc w:val="center"/>
              <w:rPr>
                <w:rFonts w:ascii="宋体" w:hAnsi="宋体" w:cs="宋体" w:hint="eastAsia"/>
                <w:kern w:val="0"/>
                <w:sz w:val="18"/>
                <w:szCs w:val="18"/>
              </w:rPr>
            </w:pPr>
            <w:proofErr w:type="gramStart"/>
            <w:r w:rsidRPr="00C94FA8">
              <w:rPr>
                <w:rFonts w:ascii="宋体" w:hAnsi="宋体" w:cs="宋体" w:hint="eastAsia"/>
                <w:kern w:val="0"/>
                <w:sz w:val="18"/>
                <w:szCs w:val="18"/>
              </w:rPr>
              <w:t>玻</w:t>
            </w:r>
            <w:proofErr w:type="gramEnd"/>
            <w:r w:rsidRPr="00C94FA8">
              <w:rPr>
                <w:rFonts w:ascii="宋体" w:hAnsi="宋体" w:cs="宋体" w:hint="eastAsia"/>
                <w:kern w:val="0"/>
                <w:sz w:val="18"/>
                <w:szCs w:val="18"/>
              </w:rPr>
              <w:t xml:space="preserve">  </w:t>
            </w:r>
            <w:proofErr w:type="gramStart"/>
            <w:r w:rsidRPr="00C94FA8">
              <w:rPr>
                <w:rFonts w:ascii="宋体" w:hAnsi="宋体" w:cs="宋体" w:hint="eastAsia"/>
                <w:kern w:val="0"/>
                <w:sz w:val="18"/>
                <w:szCs w:val="18"/>
              </w:rPr>
              <w:t>璃</w:t>
            </w:r>
            <w:proofErr w:type="gramEnd"/>
          </w:p>
        </w:tc>
        <w:tc>
          <w:tcPr>
            <w:tcW w:w="1000" w:type="dxa"/>
            <w:tcBorders>
              <w:top w:val="nil"/>
              <w:left w:val="nil"/>
              <w:bottom w:val="dashed" w:sz="4" w:space="0" w:color="FF0000"/>
              <w:right w:val="dashed" w:sz="4" w:space="0" w:color="FF0000"/>
            </w:tcBorders>
            <w:shd w:val="clear" w:color="auto" w:fill="auto"/>
            <w:vAlign w:val="bottom"/>
            <w:hideMark/>
          </w:tcPr>
          <w:p w14:paraId="5D511B16" w14:textId="77777777" w:rsidR="00C94FA8" w:rsidRPr="00C94FA8" w:rsidRDefault="00C94FA8" w:rsidP="00C94FA8">
            <w:pPr>
              <w:widowControl/>
              <w:jc w:val="center"/>
              <w:rPr>
                <w:rFonts w:hint="eastAsia"/>
                <w:kern w:val="0"/>
                <w:sz w:val="18"/>
                <w:szCs w:val="18"/>
              </w:rPr>
            </w:pPr>
            <w:r w:rsidRPr="00C94FA8">
              <w:rPr>
                <w:kern w:val="0"/>
                <w:sz w:val="18"/>
                <w:szCs w:val="18"/>
              </w:rPr>
              <w:t>1438</w:t>
            </w:r>
          </w:p>
        </w:tc>
        <w:tc>
          <w:tcPr>
            <w:tcW w:w="940" w:type="dxa"/>
            <w:tcBorders>
              <w:top w:val="nil"/>
              <w:left w:val="nil"/>
              <w:bottom w:val="dashed" w:sz="4" w:space="0" w:color="FF0000"/>
              <w:right w:val="dashed" w:sz="4" w:space="0" w:color="FF0000"/>
            </w:tcBorders>
            <w:shd w:val="clear" w:color="auto" w:fill="auto"/>
            <w:vAlign w:val="bottom"/>
            <w:hideMark/>
          </w:tcPr>
          <w:p w14:paraId="0B890432" w14:textId="77777777" w:rsidR="00C94FA8" w:rsidRPr="00C94FA8" w:rsidRDefault="00C94FA8" w:rsidP="00C94FA8">
            <w:pPr>
              <w:widowControl/>
              <w:jc w:val="center"/>
              <w:rPr>
                <w:kern w:val="0"/>
                <w:sz w:val="18"/>
                <w:szCs w:val="18"/>
              </w:rPr>
            </w:pPr>
            <w:r w:rsidRPr="00C94FA8">
              <w:rPr>
                <w:kern w:val="0"/>
                <w:sz w:val="18"/>
                <w:szCs w:val="18"/>
              </w:rPr>
              <w:t xml:space="preserve">1438 </w:t>
            </w:r>
          </w:p>
        </w:tc>
        <w:tc>
          <w:tcPr>
            <w:tcW w:w="1000" w:type="dxa"/>
            <w:tcBorders>
              <w:top w:val="nil"/>
              <w:left w:val="nil"/>
              <w:bottom w:val="dashed" w:sz="4" w:space="0" w:color="FF0000"/>
              <w:right w:val="dashed" w:sz="4" w:space="0" w:color="FF0000"/>
            </w:tcBorders>
            <w:shd w:val="clear" w:color="auto" w:fill="auto"/>
            <w:vAlign w:val="bottom"/>
            <w:hideMark/>
          </w:tcPr>
          <w:p w14:paraId="2272A68B"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236BD4B3" w14:textId="77777777" w:rsidR="00C94FA8" w:rsidRPr="00C94FA8" w:rsidRDefault="00C94FA8" w:rsidP="00C94FA8">
            <w:pPr>
              <w:widowControl/>
              <w:jc w:val="center"/>
              <w:rPr>
                <w:kern w:val="0"/>
                <w:sz w:val="18"/>
                <w:szCs w:val="18"/>
              </w:rPr>
            </w:pPr>
            <w:r w:rsidRPr="00C94FA8">
              <w:rPr>
                <w:kern w:val="0"/>
                <w:sz w:val="18"/>
                <w:szCs w:val="18"/>
              </w:rPr>
              <w:t>1330</w:t>
            </w:r>
          </w:p>
        </w:tc>
        <w:tc>
          <w:tcPr>
            <w:tcW w:w="1040" w:type="dxa"/>
            <w:tcBorders>
              <w:top w:val="nil"/>
              <w:left w:val="nil"/>
              <w:bottom w:val="dashed" w:sz="4" w:space="0" w:color="FF0000"/>
              <w:right w:val="dashed" w:sz="4" w:space="0" w:color="FF0000"/>
            </w:tcBorders>
            <w:shd w:val="clear" w:color="auto" w:fill="auto"/>
            <w:noWrap/>
            <w:vAlign w:val="bottom"/>
            <w:hideMark/>
          </w:tcPr>
          <w:p w14:paraId="7ACBA553" w14:textId="77777777" w:rsidR="00C94FA8" w:rsidRPr="00C94FA8" w:rsidRDefault="00C94FA8" w:rsidP="00C94FA8">
            <w:pPr>
              <w:widowControl/>
              <w:jc w:val="center"/>
              <w:rPr>
                <w:kern w:val="0"/>
                <w:sz w:val="18"/>
                <w:szCs w:val="18"/>
              </w:rPr>
            </w:pPr>
            <w:r w:rsidRPr="00C94FA8">
              <w:rPr>
                <w:kern w:val="0"/>
                <w:sz w:val="18"/>
                <w:szCs w:val="18"/>
              </w:rPr>
              <w:t xml:space="preserve">-108 </w:t>
            </w:r>
          </w:p>
        </w:tc>
        <w:tc>
          <w:tcPr>
            <w:tcW w:w="940" w:type="dxa"/>
            <w:tcBorders>
              <w:top w:val="nil"/>
              <w:left w:val="nil"/>
              <w:bottom w:val="dashed" w:sz="4" w:space="0" w:color="FF0000"/>
              <w:right w:val="single" w:sz="4" w:space="0" w:color="FF0000"/>
            </w:tcBorders>
            <w:shd w:val="clear" w:color="auto" w:fill="auto"/>
            <w:vAlign w:val="bottom"/>
            <w:hideMark/>
          </w:tcPr>
          <w:p w14:paraId="71925A3C"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6D541BC2"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1166E0CA" w14:textId="77777777" w:rsidR="00C94FA8" w:rsidRPr="00C94FA8" w:rsidRDefault="00C94FA8" w:rsidP="00C94FA8">
            <w:pPr>
              <w:widowControl/>
              <w:jc w:val="center"/>
              <w:rPr>
                <w:rFonts w:ascii="宋体" w:hAnsi="宋体" w:cs="宋体" w:hint="eastAsia"/>
                <w:kern w:val="0"/>
                <w:sz w:val="18"/>
                <w:szCs w:val="18"/>
              </w:rPr>
            </w:pPr>
            <w:r w:rsidRPr="00C94FA8">
              <w:rPr>
                <w:rFonts w:ascii="宋体" w:hAnsi="宋体" w:cs="宋体" w:hint="eastAsia"/>
                <w:kern w:val="0"/>
                <w:sz w:val="18"/>
                <w:szCs w:val="18"/>
              </w:rPr>
              <w:t>动力煤</w:t>
            </w:r>
          </w:p>
        </w:tc>
        <w:tc>
          <w:tcPr>
            <w:tcW w:w="1000" w:type="dxa"/>
            <w:tcBorders>
              <w:top w:val="nil"/>
              <w:left w:val="nil"/>
              <w:bottom w:val="dashed" w:sz="4" w:space="0" w:color="FF0000"/>
              <w:right w:val="dashed" w:sz="4" w:space="0" w:color="FF0000"/>
            </w:tcBorders>
            <w:shd w:val="clear" w:color="auto" w:fill="auto"/>
            <w:vAlign w:val="bottom"/>
            <w:hideMark/>
          </w:tcPr>
          <w:p w14:paraId="32CA56FD" w14:textId="77777777" w:rsidR="00C94FA8" w:rsidRPr="00C94FA8" w:rsidRDefault="00C94FA8" w:rsidP="00C94FA8">
            <w:pPr>
              <w:widowControl/>
              <w:jc w:val="center"/>
              <w:rPr>
                <w:rFonts w:hint="eastAsia"/>
                <w:kern w:val="0"/>
                <w:sz w:val="18"/>
                <w:szCs w:val="18"/>
              </w:rPr>
            </w:pPr>
            <w:r w:rsidRPr="00C94FA8">
              <w:rPr>
                <w:kern w:val="0"/>
                <w:sz w:val="18"/>
                <w:szCs w:val="18"/>
              </w:rPr>
              <w:t>595</w:t>
            </w:r>
          </w:p>
        </w:tc>
        <w:tc>
          <w:tcPr>
            <w:tcW w:w="940" w:type="dxa"/>
            <w:tcBorders>
              <w:top w:val="nil"/>
              <w:left w:val="nil"/>
              <w:bottom w:val="dashed" w:sz="4" w:space="0" w:color="FF0000"/>
              <w:right w:val="dashed" w:sz="4" w:space="0" w:color="FF0000"/>
            </w:tcBorders>
            <w:shd w:val="clear" w:color="auto" w:fill="auto"/>
            <w:vAlign w:val="bottom"/>
            <w:hideMark/>
          </w:tcPr>
          <w:p w14:paraId="1777E4D4" w14:textId="77777777" w:rsidR="00C94FA8" w:rsidRPr="00C94FA8" w:rsidRDefault="00C94FA8" w:rsidP="00C94FA8">
            <w:pPr>
              <w:widowControl/>
              <w:jc w:val="center"/>
              <w:rPr>
                <w:kern w:val="0"/>
                <w:sz w:val="18"/>
                <w:szCs w:val="18"/>
              </w:rPr>
            </w:pPr>
            <w:r w:rsidRPr="00C94FA8">
              <w:rPr>
                <w:kern w:val="0"/>
                <w:sz w:val="18"/>
                <w:szCs w:val="18"/>
              </w:rPr>
              <w:t xml:space="preserve">600 </w:t>
            </w:r>
          </w:p>
        </w:tc>
        <w:tc>
          <w:tcPr>
            <w:tcW w:w="1000" w:type="dxa"/>
            <w:tcBorders>
              <w:top w:val="nil"/>
              <w:left w:val="nil"/>
              <w:bottom w:val="dashed" w:sz="4" w:space="0" w:color="FF0000"/>
              <w:right w:val="dashed" w:sz="4" w:space="0" w:color="FF0000"/>
            </w:tcBorders>
            <w:shd w:val="clear" w:color="auto" w:fill="auto"/>
            <w:vAlign w:val="bottom"/>
            <w:hideMark/>
          </w:tcPr>
          <w:p w14:paraId="6D926657" w14:textId="77777777" w:rsidR="00C94FA8" w:rsidRPr="00C94FA8" w:rsidRDefault="00C94FA8" w:rsidP="00C94FA8">
            <w:pPr>
              <w:widowControl/>
              <w:jc w:val="right"/>
              <w:rPr>
                <w:kern w:val="0"/>
                <w:sz w:val="18"/>
                <w:szCs w:val="18"/>
              </w:rPr>
            </w:pPr>
            <w:r w:rsidRPr="00C94FA8">
              <w:rPr>
                <w:kern w:val="0"/>
                <w:sz w:val="18"/>
                <w:szCs w:val="18"/>
              </w:rPr>
              <w:t>0.84%</w:t>
            </w:r>
          </w:p>
        </w:tc>
        <w:tc>
          <w:tcPr>
            <w:tcW w:w="820" w:type="dxa"/>
            <w:tcBorders>
              <w:top w:val="nil"/>
              <w:left w:val="nil"/>
              <w:bottom w:val="dashed" w:sz="4" w:space="0" w:color="FF0000"/>
              <w:right w:val="dashed" w:sz="4" w:space="0" w:color="FF0000"/>
            </w:tcBorders>
            <w:shd w:val="clear" w:color="auto" w:fill="auto"/>
            <w:noWrap/>
            <w:vAlign w:val="bottom"/>
            <w:hideMark/>
          </w:tcPr>
          <w:p w14:paraId="246D02D4" w14:textId="77777777" w:rsidR="00C94FA8" w:rsidRPr="00C94FA8" w:rsidRDefault="00C94FA8" w:rsidP="00C94FA8">
            <w:pPr>
              <w:widowControl/>
              <w:jc w:val="center"/>
              <w:rPr>
                <w:kern w:val="0"/>
                <w:sz w:val="18"/>
                <w:szCs w:val="18"/>
              </w:rPr>
            </w:pPr>
            <w:r w:rsidRPr="00C94FA8">
              <w:rPr>
                <w:kern w:val="0"/>
                <w:sz w:val="18"/>
                <w:szCs w:val="18"/>
              </w:rPr>
              <w:t>589.2</w:t>
            </w:r>
          </w:p>
        </w:tc>
        <w:tc>
          <w:tcPr>
            <w:tcW w:w="1040" w:type="dxa"/>
            <w:tcBorders>
              <w:top w:val="nil"/>
              <w:left w:val="nil"/>
              <w:bottom w:val="dashed" w:sz="4" w:space="0" w:color="FF0000"/>
              <w:right w:val="dashed" w:sz="4" w:space="0" w:color="FF0000"/>
            </w:tcBorders>
            <w:shd w:val="clear" w:color="auto" w:fill="auto"/>
            <w:noWrap/>
            <w:vAlign w:val="bottom"/>
            <w:hideMark/>
          </w:tcPr>
          <w:p w14:paraId="05125629" w14:textId="77777777" w:rsidR="00C94FA8" w:rsidRPr="00C94FA8" w:rsidRDefault="00C94FA8" w:rsidP="00C94FA8">
            <w:pPr>
              <w:widowControl/>
              <w:jc w:val="center"/>
              <w:rPr>
                <w:kern w:val="0"/>
                <w:sz w:val="18"/>
                <w:szCs w:val="18"/>
              </w:rPr>
            </w:pPr>
            <w:r w:rsidRPr="00C94FA8">
              <w:rPr>
                <w:kern w:val="0"/>
                <w:sz w:val="18"/>
                <w:szCs w:val="18"/>
              </w:rPr>
              <w:t xml:space="preserve">-11 </w:t>
            </w:r>
          </w:p>
        </w:tc>
        <w:tc>
          <w:tcPr>
            <w:tcW w:w="940" w:type="dxa"/>
            <w:tcBorders>
              <w:top w:val="nil"/>
              <w:left w:val="nil"/>
              <w:bottom w:val="dashed" w:sz="4" w:space="0" w:color="FF0000"/>
              <w:right w:val="single" w:sz="4" w:space="0" w:color="FF0000"/>
            </w:tcBorders>
            <w:shd w:val="clear" w:color="auto" w:fill="auto"/>
            <w:vAlign w:val="bottom"/>
            <w:hideMark/>
          </w:tcPr>
          <w:p w14:paraId="2B801FE3"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27511971" w14:textId="77777777" w:rsidTr="00C94FA8">
        <w:trPr>
          <w:trHeight w:val="345"/>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4EB9C894"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沪  铜</w:t>
            </w:r>
          </w:p>
        </w:tc>
        <w:tc>
          <w:tcPr>
            <w:tcW w:w="1000" w:type="dxa"/>
            <w:tcBorders>
              <w:top w:val="nil"/>
              <w:left w:val="nil"/>
              <w:bottom w:val="dashed" w:sz="4" w:space="0" w:color="FF0000"/>
              <w:right w:val="dashed" w:sz="4" w:space="0" w:color="FF0000"/>
            </w:tcBorders>
            <w:shd w:val="clear" w:color="auto" w:fill="auto"/>
            <w:vAlign w:val="bottom"/>
            <w:hideMark/>
          </w:tcPr>
          <w:p w14:paraId="4850AD35" w14:textId="77777777" w:rsidR="00C94FA8" w:rsidRPr="00C94FA8" w:rsidRDefault="00C94FA8" w:rsidP="00C94FA8">
            <w:pPr>
              <w:widowControl/>
              <w:jc w:val="center"/>
              <w:rPr>
                <w:rFonts w:hint="eastAsia"/>
                <w:kern w:val="0"/>
                <w:sz w:val="18"/>
                <w:szCs w:val="18"/>
              </w:rPr>
            </w:pPr>
            <w:r w:rsidRPr="00C94FA8">
              <w:rPr>
                <w:kern w:val="0"/>
                <w:sz w:val="18"/>
                <w:szCs w:val="18"/>
              </w:rPr>
              <w:t>48010</w:t>
            </w:r>
          </w:p>
        </w:tc>
        <w:tc>
          <w:tcPr>
            <w:tcW w:w="940" w:type="dxa"/>
            <w:tcBorders>
              <w:top w:val="nil"/>
              <w:left w:val="nil"/>
              <w:bottom w:val="dashed" w:sz="4" w:space="0" w:color="FF0000"/>
              <w:right w:val="dashed" w:sz="4" w:space="0" w:color="FF0000"/>
            </w:tcBorders>
            <w:shd w:val="clear" w:color="auto" w:fill="auto"/>
            <w:vAlign w:val="bottom"/>
            <w:hideMark/>
          </w:tcPr>
          <w:p w14:paraId="5A11A31E" w14:textId="77777777" w:rsidR="00C94FA8" w:rsidRPr="00C94FA8" w:rsidRDefault="00C94FA8" w:rsidP="00C94FA8">
            <w:pPr>
              <w:widowControl/>
              <w:jc w:val="center"/>
              <w:rPr>
                <w:kern w:val="0"/>
                <w:sz w:val="18"/>
                <w:szCs w:val="18"/>
              </w:rPr>
            </w:pPr>
            <w:r w:rsidRPr="00C94FA8">
              <w:rPr>
                <w:kern w:val="0"/>
                <w:sz w:val="18"/>
                <w:szCs w:val="18"/>
              </w:rPr>
              <w:t xml:space="preserve">48160 </w:t>
            </w:r>
          </w:p>
        </w:tc>
        <w:tc>
          <w:tcPr>
            <w:tcW w:w="1000" w:type="dxa"/>
            <w:tcBorders>
              <w:top w:val="nil"/>
              <w:left w:val="nil"/>
              <w:bottom w:val="dashed" w:sz="4" w:space="0" w:color="FF0000"/>
              <w:right w:val="dashed" w:sz="4" w:space="0" w:color="FF0000"/>
            </w:tcBorders>
            <w:shd w:val="clear" w:color="auto" w:fill="auto"/>
            <w:vAlign w:val="bottom"/>
            <w:hideMark/>
          </w:tcPr>
          <w:p w14:paraId="71ABA012" w14:textId="77777777" w:rsidR="00C94FA8" w:rsidRPr="00C94FA8" w:rsidRDefault="00C94FA8" w:rsidP="00C94FA8">
            <w:pPr>
              <w:widowControl/>
              <w:jc w:val="right"/>
              <w:rPr>
                <w:kern w:val="0"/>
                <w:sz w:val="18"/>
                <w:szCs w:val="18"/>
              </w:rPr>
            </w:pPr>
            <w:r w:rsidRPr="00C94FA8">
              <w:rPr>
                <w:kern w:val="0"/>
                <w:sz w:val="18"/>
                <w:szCs w:val="18"/>
              </w:rPr>
              <w:t>0.31%</w:t>
            </w:r>
          </w:p>
        </w:tc>
        <w:tc>
          <w:tcPr>
            <w:tcW w:w="820" w:type="dxa"/>
            <w:tcBorders>
              <w:top w:val="nil"/>
              <w:left w:val="nil"/>
              <w:bottom w:val="dashed" w:sz="4" w:space="0" w:color="FF0000"/>
              <w:right w:val="dashed" w:sz="4" w:space="0" w:color="FF0000"/>
            </w:tcBorders>
            <w:shd w:val="clear" w:color="auto" w:fill="auto"/>
            <w:noWrap/>
            <w:vAlign w:val="bottom"/>
            <w:hideMark/>
          </w:tcPr>
          <w:p w14:paraId="6028BB23" w14:textId="77777777" w:rsidR="00C94FA8" w:rsidRPr="00C94FA8" w:rsidRDefault="00C94FA8" w:rsidP="00C94FA8">
            <w:pPr>
              <w:widowControl/>
              <w:jc w:val="center"/>
              <w:rPr>
                <w:kern w:val="0"/>
                <w:sz w:val="18"/>
                <w:szCs w:val="18"/>
              </w:rPr>
            </w:pPr>
            <w:r w:rsidRPr="00C94FA8">
              <w:rPr>
                <w:kern w:val="0"/>
                <w:sz w:val="18"/>
                <w:szCs w:val="18"/>
              </w:rPr>
              <w:t>48450</w:t>
            </w:r>
          </w:p>
        </w:tc>
        <w:tc>
          <w:tcPr>
            <w:tcW w:w="1040" w:type="dxa"/>
            <w:tcBorders>
              <w:top w:val="nil"/>
              <w:left w:val="nil"/>
              <w:bottom w:val="dashed" w:sz="4" w:space="0" w:color="FF0000"/>
              <w:right w:val="dashed" w:sz="4" w:space="0" w:color="FF0000"/>
            </w:tcBorders>
            <w:shd w:val="clear" w:color="auto" w:fill="auto"/>
            <w:noWrap/>
            <w:vAlign w:val="bottom"/>
            <w:hideMark/>
          </w:tcPr>
          <w:p w14:paraId="15A01D70" w14:textId="77777777" w:rsidR="00C94FA8" w:rsidRPr="00C94FA8" w:rsidRDefault="00C94FA8" w:rsidP="00C94FA8">
            <w:pPr>
              <w:widowControl/>
              <w:jc w:val="center"/>
              <w:rPr>
                <w:kern w:val="0"/>
                <w:sz w:val="18"/>
                <w:szCs w:val="18"/>
              </w:rPr>
            </w:pPr>
            <w:r w:rsidRPr="00C94FA8">
              <w:rPr>
                <w:kern w:val="0"/>
                <w:sz w:val="18"/>
                <w:szCs w:val="18"/>
              </w:rPr>
              <w:t xml:space="preserve">290 </w:t>
            </w:r>
          </w:p>
        </w:tc>
        <w:tc>
          <w:tcPr>
            <w:tcW w:w="940" w:type="dxa"/>
            <w:tcBorders>
              <w:top w:val="nil"/>
              <w:left w:val="nil"/>
              <w:bottom w:val="dashed" w:sz="4" w:space="0" w:color="FF0000"/>
              <w:right w:val="single" w:sz="4" w:space="0" w:color="FF0000"/>
            </w:tcBorders>
            <w:shd w:val="clear" w:color="auto" w:fill="auto"/>
            <w:vAlign w:val="bottom"/>
            <w:hideMark/>
          </w:tcPr>
          <w:p w14:paraId="3A95FE7F"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1903</w:t>
            </w:r>
          </w:p>
        </w:tc>
      </w:tr>
      <w:tr w:rsidR="00C94FA8" w:rsidRPr="00C94FA8" w14:paraId="1FB9F6C8" w14:textId="77777777" w:rsidTr="00C94FA8">
        <w:trPr>
          <w:trHeight w:val="345"/>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6D49CC94"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沪  铝</w:t>
            </w:r>
          </w:p>
        </w:tc>
        <w:tc>
          <w:tcPr>
            <w:tcW w:w="1000" w:type="dxa"/>
            <w:tcBorders>
              <w:top w:val="nil"/>
              <w:left w:val="nil"/>
              <w:bottom w:val="dashed" w:sz="4" w:space="0" w:color="FF0000"/>
              <w:right w:val="dashed" w:sz="4" w:space="0" w:color="FF0000"/>
            </w:tcBorders>
            <w:shd w:val="clear" w:color="auto" w:fill="auto"/>
            <w:vAlign w:val="bottom"/>
            <w:hideMark/>
          </w:tcPr>
          <w:p w14:paraId="433A4360" w14:textId="77777777" w:rsidR="00C94FA8" w:rsidRPr="00C94FA8" w:rsidRDefault="00C94FA8" w:rsidP="00C94FA8">
            <w:pPr>
              <w:widowControl/>
              <w:jc w:val="center"/>
              <w:rPr>
                <w:rFonts w:hint="eastAsia"/>
                <w:kern w:val="0"/>
                <w:sz w:val="18"/>
                <w:szCs w:val="18"/>
              </w:rPr>
            </w:pPr>
            <w:r w:rsidRPr="00C94FA8">
              <w:rPr>
                <w:kern w:val="0"/>
                <w:sz w:val="18"/>
                <w:szCs w:val="18"/>
              </w:rPr>
              <w:t>13330</w:t>
            </w:r>
          </w:p>
        </w:tc>
        <w:tc>
          <w:tcPr>
            <w:tcW w:w="940" w:type="dxa"/>
            <w:tcBorders>
              <w:top w:val="nil"/>
              <w:left w:val="nil"/>
              <w:bottom w:val="dashed" w:sz="4" w:space="0" w:color="FF0000"/>
              <w:right w:val="dashed" w:sz="4" w:space="0" w:color="FF0000"/>
            </w:tcBorders>
            <w:shd w:val="clear" w:color="auto" w:fill="auto"/>
            <w:vAlign w:val="bottom"/>
            <w:hideMark/>
          </w:tcPr>
          <w:p w14:paraId="2D378C39" w14:textId="77777777" w:rsidR="00C94FA8" w:rsidRPr="00C94FA8" w:rsidRDefault="00C94FA8" w:rsidP="00C94FA8">
            <w:pPr>
              <w:widowControl/>
              <w:jc w:val="center"/>
              <w:rPr>
                <w:kern w:val="0"/>
                <w:sz w:val="18"/>
                <w:szCs w:val="18"/>
              </w:rPr>
            </w:pPr>
            <w:r w:rsidRPr="00C94FA8">
              <w:rPr>
                <w:kern w:val="0"/>
                <w:sz w:val="18"/>
                <w:szCs w:val="18"/>
              </w:rPr>
              <w:t xml:space="preserve">13350 </w:t>
            </w:r>
          </w:p>
        </w:tc>
        <w:tc>
          <w:tcPr>
            <w:tcW w:w="1000" w:type="dxa"/>
            <w:tcBorders>
              <w:top w:val="nil"/>
              <w:left w:val="nil"/>
              <w:bottom w:val="dashed" w:sz="4" w:space="0" w:color="FF0000"/>
              <w:right w:val="dashed" w:sz="4" w:space="0" w:color="FF0000"/>
            </w:tcBorders>
            <w:shd w:val="clear" w:color="auto" w:fill="auto"/>
            <w:vAlign w:val="bottom"/>
            <w:hideMark/>
          </w:tcPr>
          <w:p w14:paraId="470B3216" w14:textId="77777777" w:rsidR="00C94FA8" w:rsidRPr="00C94FA8" w:rsidRDefault="00C94FA8" w:rsidP="00C94FA8">
            <w:pPr>
              <w:widowControl/>
              <w:jc w:val="right"/>
              <w:rPr>
                <w:kern w:val="0"/>
                <w:sz w:val="18"/>
                <w:szCs w:val="18"/>
              </w:rPr>
            </w:pPr>
            <w:r w:rsidRPr="00C94FA8">
              <w:rPr>
                <w:kern w:val="0"/>
                <w:sz w:val="18"/>
                <w:szCs w:val="18"/>
              </w:rPr>
              <w:t>0.15%</w:t>
            </w:r>
          </w:p>
        </w:tc>
        <w:tc>
          <w:tcPr>
            <w:tcW w:w="820" w:type="dxa"/>
            <w:tcBorders>
              <w:top w:val="nil"/>
              <w:left w:val="nil"/>
              <w:bottom w:val="dashed" w:sz="4" w:space="0" w:color="FF0000"/>
              <w:right w:val="dashed" w:sz="4" w:space="0" w:color="FF0000"/>
            </w:tcBorders>
            <w:shd w:val="clear" w:color="auto" w:fill="auto"/>
            <w:noWrap/>
            <w:vAlign w:val="bottom"/>
            <w:hideMark/>
          </w:tcPr>
          <w:p w14:paraId="138D457F" w14:textId="77777777" w:rsidR="00C94FA8" w:rsidRPr="00C94FA8" w:rsidRDefault="00C94FA8" w:rsidP="00C94FA8">
            <w:pPr>
              <w:widowControl/>
              <w:jc w:val="center"/>
              <w:rPr>
                <w:kern w:val="0"/>
                <w:sz w:val="18"/>
                <w:szCs w:val="18"/>
              </w:rPr>
            </w:pPr>
            <w:r w:rsidRPr="00C94FA8">
              <w:rPr>
                <w:kern w:val="0"/>
                <w:sz w:val="18"/>
                <w:szCs w:val="18"/>
              </w:rPr>
              <w:t>13470</w:t>
            </w:r>
          </w:p>
        </w:tc>
        <w:tc>
          <w:tcPr>
            <w:tcW w:w="1040" w:type="dxa"/>
            <w:tcBorders>
              <w:top w:val="nil"/>
              <w:left w:val="nil"/>
              <w:bottom w:val="dashed" w:sz="4" w:space="0" w:color="FF0000"/>
              <w:right w:val="dashed" w:sz="4" w:space="0" w:color="FF0000"/>
            </w:tcBorders>
            <w:shd w:val="clear" w:color="auto" w:fill="auto"/>
            <w:noWrap/>
            <w:vAlign w:val="bottom"/>
            <w:hideMark/>
          </w:tcPr>
          <w:p w14:paraId="2DAFC1E6" w14:textId="77777777" w:rsidR="00C94FA8" w:rsidRPr="00C94FA8" w:rsidRDefault="00C94FA8" w:rsidP="00C94FA8">
            <w:pPr>
              <w:widowControl/>
              <w:jc w:val="center"/>
              <w:rPr>
                <w:kern w:val="0"/>
                <w:sz w:val="18"/>
                <w:szCs w:val="18"/>
              </w:rPr>
            </w:pPr>
            <w:r w:rsidRPr="00C94FA8">
              <w:rPr>
                <w:kern w:val="0"/>
                <w:sz w:val="18"/>
                <w:szCs w:val="18"/>
              </w:rPr>
              <w:t xml:space="preserve">120 </w:t>
            </w:r>
          </w:p>
        </w:tc>
        <w:tc>
          <w:tcPr>
            <w:tcW w:w="940" w:type="dxa"/>
            <w:tcBorders>
              <w:top w:val="nil"/>
              <w:left w:val="nil"/>
              <w:bottom w:val="dashed" w:sz="4" w:space="0" w:color="FF0000"/>
              <w:right w:val="single" w:sz="4" w:space="0" w:color="FF0000"/>
            </w:tcBorders>
            <w:shd w:val="clear" w:color="auto" w:fill="auto"/>
            <w:vAlign w:val="bottom"/>
            <w:hideMark/>
          </w:tcPr>
          <w:p w14:paraId="4AAE6733"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1903</w:t>
            </w:r>
          </w:p>
        </w:tc>
      </w:tr>
      <w:tr w:rsidR="00C94FA8" w:rsidRPr="00C94FA8" w14:paraId="4B80865A" w14:textId="77777777" w:rsidTr="00C94FA8">
        <w:trPr>
          <w:trHeight w:val="345"/>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3C3D15AC"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沪  锌</w:t>
            </w:r>
          </w:p>
        </w:tc>
        <w:tc>
          <w:tcPr>
            <w:tcW w:w="1000" w:type="dxa"/>
            <w:tcBorders>
              <w:top w:val="nil"/>
              <w:left w:val="nil"/>
              <w:bottom w:val="dashed" w:sz="4" w:space="0" w:color="FF0000"/>
              <w:right w:val="dashed" w:sz="4" w:space="0" w:color="FF0000"/>
            </w:tcBorders>
            <w:shd w:val="clear" w:color="auto" w:fill="auto"/>
            <w:vAlign w:val="bottom"/>
            <w:hideMark/>
          </w:tcPr>
          <w:p w14:paraId="0E75381C" w14:textId="77777777" w:rsidR="00C94FA8" w:rsidRPr="00C94FA8" w:rsidRDefault="00C94FA8" w:rsidP="00C94FA8">
            <w:pPr>
              <w:widowControl/>
              <w:jc w:val="center"/>
              <w:rPr>
                <w:rFonts w:hint="eastAsia"/>
                <w:kern w:val="0"/>
                <w:sz w:val="18"/>
                <w:szCs w:val="18"/>
              </w:rPr>
            </w:pPr>
            <w:r w:rsidRPr="00C94FA8">
              <w:rPr>
                <w:kern w:val="0"/>
                <w:sz w:val="18"/>
                <w:szCs w:val="18"/>
              </w:rPr>
              <w:t>22060</w:t>
            </w:r>
          </w:p>
        </w:tc>
        <w:tc>
          <w:tcPr>
            <w:tcW w:w="940" w:type="dxa"/>
            <w:tcBorders>
              <w:top w:val="nil"/>
              <w:left w:val="nil"/>
              <w:bottom w:val="dashed" w:sz="4" w:space="0" w:color="FF0000"/>
              <w:right w:val="dashed" w:sz="4" w:space="0" w:color="FF0000"/>
            </w:tcBorders>
            <w:shd w:val="clear" w:color="auto" w:fill="auto"/>
            <w:vAlign w:val="bottom"/>
            <w:hideMark/>
          </w:tcPr>
          <w:p w14:paraId="41F64EBB" w14:textId="77777777" w:rsidR="00C94FA8" w:rsidRPr="00C94FA8" w:rsidRDefault="00C94FA8" w:rsidP="00C94FA8">
            <w:pPr>
              <w:widowControl/>
              <w:jc w:val="center"/>
              <w:rPr>
                <w:kern w:val="0"/>
                <w:sz w:val="18"/>
                <w:szCs w:val="18"/>
              </w:rPr>
            </w:pPr>
            <w:r w:rsidRPr="00C94FA8">
              <w:rPr>
                <w:kern w:val="0"/>
                <w:sz w:val="18"/>
                <w:szCs w:val="18"/>
              </w:rPr>
              <w:t xml:space="preserve">21920 </w:t>
            </w:r>
          </w:p>
        </w:tc>
        <w:tc>
          <w:tcPr>
            <w:tcW w:w="1000" w:type="dxa"/>
            <w:tcBorders>
              <w:top w:val="nil"/>
              <w:left w:val="nil"/>
              <w:bottom w:val="dashed" w:sz="4" w:space="0" w:color="FF0000"/>
              <w:right w:val="dashed" w:sz="4" w:space="0" w:color="FF0000"/>
            </w:tcBorders>
            <w:shd w:val="clear" w:color="auto" w:fill="auto"/>
            <w:vAlign w:val="bottom"/>
            <w:hideMark/>
          </w:tcPr>
          <w:p w14:paraId="21373D7E" w14:textId="77777777" w:rsidR="00C94FA8" w:rsidRPr="00C94FA8" w:rsidRDefault="00C94FA8" w:rsidP="00C94FA8">
            <w:pPr>
              <w:widowControl/>
              <w:jc w:val="right"/>
              <w:rPr>
                <w:kern w:val="0"/>
                <w:sz w:val="18"/>
                <w:szCs w:val="18"/>
              </w:rPr>
            </w:pPr>
            <w:r w:rsidRPr="00C94FA8">
              <w:rPr>
                <w:kern w:val="0"/>
                <w:sz w:val="18"/>
                <w:szCs w:val="18"/>
              </w:rPr>
              <w:t>-0.63%</w:t>
            </w:r>
          </w:p>
        </w:tc>
        <w:tc>
          <w:tcPr>
            <w:tcW w:w="820" w:type="dxa"/>
            <w:tcBorders>
              <w:top w:val="nil"/>
              <w:left w:val="nil"/>
              <w:bottom w:val="dashed" w:sz="4" w:space="0" w:color="FF0000"/>
              <w:right w:val="dashed" w:sz="4" w:space="0" w:color="FF0000"/>
            </w:tcBorders>
            <w:shd w:val="clear" w:color="auto" w:fill="auto"/>
            <w:noWrap/>
            <w:vAlign w:val="bottom"/>
            <w:hideMark/>
          </w:tcPr>
          <w:p w14:paraId="5F3ED148" w14:textId="77777777" w:rsidR="00C94FA8" w:rsidRPr="00C94FA8" w:rsidRDefault="00C94FA8" w:rsidP="00C94FA8">
            <w:pPr>
              <w:widowControl/>
              <w:jc w:val="center"/>
              <w:rPr>
                <w:kern w:val="0"/>
                <w:sz w:val="18"/>
                <w:szCs w:val="18"/>
              </w:rPr>
            </w:pPr>
            <w:r w:rsidRPr="00C94FA8">
              <w:rPr>
                <w:kern w:val="0"/>
                <w:sz w:val="18"/>
                <w:szCs w:val="18"/>
              </w:rPr>
              <w:t>21795</w:t>
            </w:r>
          </w:p>
        </w:tc>
        <w:tc>
          <w:tcPr>
            <w:tcW w:w="1040" w:type="dxa"/>
            <w:tcBorders>
              <w:top w:val="nil"/>
              <w:left w:val="nil"/>
              <w:bottom w:val="dashed" w:sz="4" w:space="0" w:color="FF0000"/>
              <w:right w:val="dashed" w:sz="4" w:space="0" w:color="FF0000"/>
            </w:tcBorders>
            <w:shd w:val="clear" w:color="auto" w:fill="auto"/>
            <w:noWrap/>
            <w:vAlign w:val="bottom"/>
            <w:hideMark/>
          </w:tcPr>
          <w:p w14:paraId="07EF8E14" w14:textId="77777777" w:rsidR="00C94FA8" w:rsidRPr="00C94FA8" w:rsidRDefault="00C94FA8" w:rsidP="00C94FA8">
            <w:pPr>
              <w:widowControl/>
              <w:jc w:val="center"/>
              <w:rPr>
                <w:kern w:val="0"/>
                <w:sz w:val="18"/>
                <w:szCs w:val="18"/>
              </w:rPr>
            </w:pPr>
            <w:r w:rsidRPr="00C94FA8">
              <w:rPr>
                <w:kern w:val="0"/>
                <w:sz w:val="18"/>
                <w:szCs w:val="18"/>
              </w:rPr>
              <w:t xml:space="preserve">-125 </w:t>
            </w:r>
          </w:p>
        </w:tc>
        <w:tc>
          <w:tcPr>
            <w:tcW w:w="940" w:type="dxa"/>
            <w:tcBorders>
              <w:top w:val="nil"/>
              <w:left w:val="nil"/>
              <w:bottom w:val="dashed" w:sz="4" w:space="0" w:color="FF0000"/>
              <w:right w:val="single" w:sz="4" w:space="0" w:color="FF0000"/>
            </w:tcBorders>
            <w:shd w:val="clear" w:color="auto" w:fill="auto"/>
            <w:vAlign w:val="bottom"/>
            <w:hideMark/>
          </w:tcPr>
          <w:p w14:paraId="0C2A3D5B"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1903</w:t>
            </w:r>
          </w:p>
        </w:tc>
      </w:tr>
      <w:tr w:rsidR="00C94FA8" w:rsidRPr="00C94FA8" w14:paraId="60A16F6F" w14:textId="77777777" w:rsidTr="00C94FA8">
        <w:trPr>
          <w:trHeight w:val="345"/>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1CAF10AD" w14:textId="77777777" w:rsidR="00C94FA8" w:rsidRPr="00C94FA8" w:rsidRDefault="00C94FA8" w:rsidP="00C94FA8">
            <w:pPr>
              <w:widowControl/>
              <w:jc w:val="center"/>
              <w:rPr>
                <w:rFonts w:ascii="宋体" w:hAnsi="宋体" w:cs="宋体" w:hint="eastAsia"/>
                <w:color w:val="000000"/>
                <w:kern w:val="0"/>
                <w:sz w:val="18"/>
                <w:szCs w:val="18"/>
              </w:rPr>
            </w:pPr>
            <w:proofErr w:type="gramStart"/>
            <w:r w:rsidRPr="00C94FA8">
              <w:rPr>
                <w:rFonts w:ascii="宋体" w:hAnsi="宋体" w:cs="宋体" w:hint="eastAsia"/>
                <w:color w:val="000000"/>
                <w:kern w:val="0"/>
                <w:sz w:val="18"/>
                <w:szCs w:val="18"/>
              </w:rPr>
              <w:t>橡</w:t>
            </w:r>
            <w:proofErr w:type="gramEnd"/>
            <w:r w:rsidRPr="00C94FA8">
              <w:rPr>
                <w:rFonts w:ascii="宋体" w:hAnsi="宋体" w:cs="宋体" w:hint="eastAsia"/>
                <w:color w:val="000000"/>
                <w:kern w:val="0"/>
                <w:sz w:val="18"/>
                <w:szCs w:val="18"/>
              </w:rPr>
              <w:t xml:space="preserve">  胶</w:t>
            </w:r>
          </w:p>
        </w:tc>
        <w:tc>
          <w:tcPr>
            <w:tcW w:w="1000" w:type="dxa"/>
            <w:tcBorders>
              <w:top w:val="nil"/>
              <w:left w:val="nil"/>
              <w:bottom w:val="dashed" w:sz="4" w:space="0" w:color="FF0000"/>
              <w:right w:val="dashed" w:sz="4" w:space="0" w:color="FF0000"/>
            </w:tcBorders>
            <w:shd w:val="clear" w:color="auto" w:fill="auto"/>
            <w:vAlign w:val="bottom"/>
            <w:hideMark/>
          </w:tcPr>
          <w:p w14:paraId="031F787F" w14:textId="77777777" w:rsidR="00C94FA8" w:rsidRPr="00C94FA8" w:rsidRDefault="00C94FA8" w:rsidP="00C94FA8">
            <w:pPr>
              <w:widowControl/>
              <w:jc w:val="center"/>
              <w:rPr>
                <w:rFonts w:hint="eastAsia"/>
                <w:kern w:val="0"/>
                <w:sz w:val="18"/>
                <w:szCs w:val="18"/>
              </w:rPr>
            </w:pPr>
            <w:r w:rsidRPr="00C94FA8">
              <w:rPr>
                <w:kern w:val="0"/>
                <w:sz w:val="18"/>
                <w:szCs w:val="18"/>
              </w:rPr>
              <w:t>10900</w:t>
            </w:r>
          </w:p>
        </w:tc>
        <w:tc>
          <w:tcPr>
            <w:tcW w:w="940" w:type="dxa"/>
            <w:tcBorders>
              <w:top w:val="nil"/>
              <w:left w:val="nil"/>
              <w:bottom w:val="dashed" w:sz="4" w:space="0" w:color="FF0000"/>
              <w:right w:val="dashed" w:sz="4" w:space="0" w:color="FF0000"/>
            </w:tcBorders>
            <w:shd w:val="clear" w:color="auto" w:fill="auto"/>
            <w:vAlign w:val="bottom"/>
            <w:hideMark/>
          </w:tcPr>
          <w:p w14:paraId="695E43BA" w14:textId="77777777" w:rsidR="00C94FA8" w:rsidRPr="00C94FA8" w:rsidRDefault="00C94FA8" w:rsidP="00C94FA8">
            <w:pPr>
              <w:widowControl/>
              <w:jc w:val="center"/>
              <w:rPr>
                <w:kern w:val="0"/>
                <w:sz w:val="18"/>
                <w:szCs w:val="18"/>
              </w:rPr>
            </w:pPr>
            <w:r w:rsidRPr="00C94FA8">
              <w:rPr>
                <w:kern w:val="0"/>
                <w:sz w:val="18"/>
                <w:szCs w:val="18"/>
              </w:rPr>
              <w:t xml:space="preserve">11050 </w:t>
            </w:r>
          </w:p>
        </w:tc>
        <w:tc>
          <w:tcPr>
            <w:tcW w:w="1000" w:type="dxa"/>
            <w:tcBorders>
              <w:top w:val="dashed" w:sz="4" w:space="0" w:color="FF0000"/>
              <w:left w:val="dashed" w:sz="4" w:space="0" w:color="FF0000"/>
              <w:bottom w:val="dashed" w:sz="4" w:space="0" w:color="FF0000"/>
              <w:right w:val="dashed" w:sz="4" w:space="0" w:color="FF0000"/>
            </w:tcBorders>
            <w:shd w:val="clear" w:color="000000" w:fill="FF0000"/>
            <w:vAlign w:val="bottom"/>
            <w:hideMark/>
          </w:tcPr>
          <w:p w14:paraId="60591B20" w14:textId="77777777" w:rsidR="00C94FA8" w:rsidRPr="00C94FA8" w:rsidRDefault="00C94FA8" w:rsidP="00C94FA8">
            <w:pPr>
              <w:widowControl/>
              <w:jc w:val="right"/>
              <w:rPr>
                <w:kern w:val="0"/>
                <w:sz w:val="18"/>
                <w:szCs w:val="18"/>
              </w:rPr>
            </w:pPr>
            <w:r w:rsidRPr="00C94FA8">
              <w:rPr>
                <w:kern w:val="0"/>
                <w:sz w:val="18"/>
                <w:szCs w:val="18"/>
              </w:rPr>
              <w:t>1.38%</w:t>
            </w:r>
          </w:p>
        </w:tc>
        <w:tc>
          <w:tcPr>
            <w:tcW w:w="820" w:type="dxa"/>
            <w:tcBorders>
              <w:top w:val="nil"/>
              <w:left w:val="nil"/>
              <w:bottom w:val="dashed" w:sz="4" w:space="0" w:color="FF0000"/>
              <w:right w:val="dashed" w:sz="4" w:space="0" w:color="FF0000"/>
            </w:tcBorders>
            <w:shd w:val="clear" w:color="auto" w:fill="auto"/>
            <w:noWrap/>
            <w:vAlign w:val="bottom"/>
            <w:hideMark/>
          </w:tcPr>
          <w:p w14:paraId="55728253" w14:textId="77777777" w:rsidR="00C94FA8" w:rsidRPr="00C94FA8" w:rsidRDefault="00C94FA8" w:rsidP="00C94FA8">
            <w:pPr>
              <w:widowControl/>
              <w:jc w:val="center"/>
              <w:rPr>
                <w:kern w:val="0"/>
                <w:sz w:val="18"/>
                <w:szCs w:val="18"/>
              </w:rPr>
            </w:pPr>
            <w:r w:rsidRPr="00C94FA8">
              <w:rPr>
                <w:kern w:val="0"/>
                <w:sz w:val="18"/>
                <w:szCs w:val="18"/>
              </w:rPr>
              <w:t>11715</w:t>
            </w:r>
          </w:p>
        </w:tc>
        <w:tc>
          <w:tcPr>
            <w:tcW w:w="1040" w:type="dxa"/>
            <w:tcBorders>
              <w:top w:val="nil"/>
              <w:left w:val="nil"/>
              <w:bottom w:val="dashed" w:sz="4" w:space="0" w:color="FF0000"/>
              <w:right w:val="dashed" w:sz="4" w:space="0" w:color="FF0000"/>
            </w:tcBorders>
            <w:shd w:val="clear" w:color="auto" w:fill="auto"/>
            <w:noWrap/>
            <w:vAlign w:val="bottom"/>
            <w:hideMark/>
          </w:tcPr>
          <w:p w14:paraId="24FE92FB" w14:textId="77777777" w:rsidR="00C94FA8" w:rsidRPr="00C94FA8" w:rsidRDefault="00C94FA8" w:rsidP="00C94FA8">
            <w:pPr>
              <w:widowControl/>
              <w:jc w:val="center"/>
              <w:rPr>
                <w:kern w:val="0"/>
                <w:sz w:val="18"/>
                <w:szCs w:val="18"/>
              </w:rPr>
            </w:pPr>
            <w:r w:rsidRPr="00C94FA8">
              <w:rPr>
                <w:kern w:val="0"/>
                <w:sz w:val="18"/>
                <w:szCs w:val="18"/>
              </w:rPr>
              <w:t xml:space="preserve">665 </w:t>
            </w:r>
          </w:p>
        </w:tc>
        <w:tc>
          <w:tcPr>
            <w:tcW w:w="940" w:type="dxa"/>
            <w:tcBorders>
              <w:top w:val="nil"/>
              <w:left w:val="nil"/>
              <w:bottom w:val="dashed" w:sz="4" w:space="0" w:color="FF0000"/>
              <w:right w:val="single" w:sz="4" w:space="0" w:color="FF0000"/>
            </w:tcBorders>
            <w:shd w:val="clear" w:color="auto" w:fill="auto"/>
            <w:vAlign w:val="bottom"/>
            <w:hideMark/>
          </w:tcPr>
          <w:p w14:paraId="55595F14"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313F113F"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2C3CE81E" w14:textId="77777777" w:rsidR="00C94FA8" w:rsidRPr="00C94FA8" w:rsidRDefault="00C94FA8" w:rsidP="00C94FA8">
            <w:pPr>
              <w:widowControl/>
              <w:jc w:val="center"/>
              <w:rPr>
                <w:rFonts w:ascii="宋体" w:hAnsi="宋体" w:cs="宋体" w:hint="eastAsia"/>
                <w:color w:val="000000"/>
                <w:kern w:val="0"/>
                <w:sz w:val="18"/>
                <w:szCs w:val="18"/>
              </w:rPr>
            </w:pPr>
            <w:proofErr w:type="gramStart"/>
            <w:r w:rsidRPr="00C94FA8">
              <w:rPr>
                <w:rFonts w:ascii="宋体" w:hAnsi="宋体" w:cs="宋体" w:hint="eastAsia"/>
                <w:color w:val="000000"/>
                <w:kern w:val="0"/>
                <w:sz w:val="18"/>
                <w:szCs w:val="18"/>
              </w:rPr>
              <w:t>豆</w:t>
            </w:r>
            <w:proofErr w:type="gramEnd"/>
            <w:r w:rsidRPr="00C94FA8">
              <w:rPr>
                <w:rFonts w:ascii="宋体" w:hAnsi="宋体" w:cs="宋体" w:hint="eastAsia"/>
                <w:color w:val="000000"/>
                <w:kern w:val="0"/>
                <w:sz w:val="18"/>
                <w:szCs w:val="18"/>
              </w:rPr>
              <w:t xml:space="preserve">  </w:t>
            </w:r>
            <w:proofErr w:type="gramStart"/>
            <w:r w:rsidRPr="00C94FA8">
              <w:rPr>
                <w:rFonts w:ascii="宋体" w:hAnsi="宋体" w:cs="宋体" w:hint="eastAsia"/>
                <w:color w:val="000000"/>
                <w:kern w:val="0"/>
                <w:sz w:val="18"/>
                <w:szCs w:val="18"/>
              </w:rPr>
              <w:t>一</w:t>
            </w:r>
            <w:proofErr w:type="gramEnd"/>
          </w:p>
        </w:tc>
        <w:tc>
          <w:tcPr>
            <w:tcW w:w="1000" w:type="dxa"/>
            <w:tcBorders>
              <w:top w:val="nil"/>
              <w:left w:val="nil"/>
              <w:bottom w:val="dashed" w:sz="4" w:space="0" w:color="FF0000"/>
              <w:right w:val="dashed" w:sz="4" w:space="0" w:color="FF0000"/>
            </w:tcBorders>
            <w:shd w:val="clear" w:color="auto" w:fill="auto"/>
            <w:vAlign w:val="bottom"/>
            <w:hideMark/>
          </w:tcPr>
          <w:p w14:paraId="37A184DD" w14:textId="77777777" w:rsidR="00C94FA8" w:rsidRPr="00C94FA8" w:rsidRDefault="00C94FA8" w:rsidP="00C94FA8">
            <w:pPr>
              <w:widowControl/>
              <w:jc w:val="center"/>
              <w:rPr>
                <w:rFonts w:hint="eastAsia"/>
                <w:kern w:val="0"/>
                <w:sz w:val="18"/>
                <w:szCs w:val="18"/>
              </w:rPr>
            </w:pPr>
            <w:r w:rsidRPr="00C94FA8">
              <w:rPr>
                <w:kern w:val="0"/>
                <w:sz w:val="18"/>
                <w:szCs w:val="18"/>
              </w:rPr>
              <w:t>3400</w:t>
            </w:r>
          </w:p>
        </w:tc>
        <w:tc>
          <w:tcPr>
            <w:tcW w:w="940" w:type="dxa"/>
            <w:tcBorders>
              <w:top w:val="nil"/>
              <w:left w:val="nil"/>
              <w:bottom w:val="dashed" w:sz="4" w:space="0" w:color="FF0000"/>
              <w:right w:val="dashed" w:sz="4" w:space="0" w:color="FF0000"/>
            </w:tcBorders>
            <w:shd w:val="clear" w:color="auto" w:fill="auto"/>
            <w:vAlign w:val="bottom"/>
            <w:hideMark/>
          </w:tcPr>
          <w:p w14:paraId="4A72F471" w14:textId="77777777" w:rsidR="00C94FA8" w:rsidRPr="00C94FA8" w:rsidRDefault="00C94FA8" w:rsidP="00C94FA8">
            <w:pPr>
              <w:widowControl/>
              <w:jc w:val="center"/>
              <w:rPr>
                <w:kern w:val="0"/>
                <w:sz w:val="18"/>
                <w:szCs w:val="18"/>
              </w:rPr>
            </w:pPr>
            <w:r w:rsidRPr="00C94FA8">
              <w:rPr>
                <w:kern w:val="0"/>
                <w:sz w:val="18"/>
                <w:szCs w:val="18"/>
              </w:rPr>
              <w:t xml:space="preserve">3400 </w:t>
            </w:r>
          </w:p>
        </w:tc>
        <w:tc>
          <w:tcPr>
            <w:tcW w:w="1000" w:type="dxa"/>
            <w:tcBorders>
              <w:top w:val="nil"/>
              <w:left w:val="nil"/>
              <w:bottom w:val="dashed" w:sz="4" w:space="0" w:color="FF0000"/>
              <w:right w:val="dashed" w:sz="4" w:space="0" w:color="FF0000"/>
            </w:tcBorders>
            <w:shd w:val="clear" w:color="auto" w:fill="auto"/>
            <w:vAlign w:val="bottom"/>
            <w:hideMark/>
          </w:tcPr>
          <w:p w14:paraId="37186AF1"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3ECB7BDD" w14:textId="77777777" w:rsidR="00C94FA8" w:rsidRPr="00C94FA8" w:rsidRDefault="00C94FA8" w:rsidP="00C94FA8">
            <w:pPr>
              <w:widowControl/>
              <w:jc w:val="center"/>
              <w:rPr>
                <w:kern w:val="0"/>
                <w:sz w:val="18"/>
                <w:szCs w:val="18"/>
              </w:rPr>
            </w:pPr>
            <w:r w:rsidRPr="00C94FA8">
              <w:rPr>
                <w:kern w:val="0"/>
                <w:sz w:val="18"/>
                <w:szCs w:val="18"/>
              </w:rPr>
              <w:t>3438</w:t>
            </w:r>
          </w:p>
        </w:tc>
        <w:tc>
          <w:tcPr>
            <w:tcW w:w="1040" w:type="dxa"/>
            <w:tcBorders>
              <w:top w:val="nil"/>
              <w:left w:val="nil"/>
              <w:bottom w:val="dashed" w:sz="4" w:space="0" w:color="FF0000"/>
              <w:right w:val="dashed" w:sz="4" w:space="0" w:color="FF0000"/>
            </w:tcBorders>
            <w:shd w:val="clear" w:color="auto" w:fill="auto"/>
            <w:noWrap/>
            <w:vAlign w:val="bottom"/>
            <w:hideMark/>
          </w:tcPr>
          <w:p w14:paraId="1F5B9EBC" w14:textId="77777777" w:rsidR="00C94FA8" w:rsidRPr="00C94FA8" w:rsidRDefault="00C94FA8" w:rsidP="00C94FA8">
            <w:pPr>
              <w:widowControl/>
              <w:jc w:val="center"/>
              <w:rPr>
                <w:kern w:val="0"/>
                <w:sz w:val="18"/>
                <w:szCs w:val="18"/>
              </w:rPr>
            </w:pPr>
            <w:r w:rsidRPr="00C94FA8">
              <w:rPr>
                <w:kern w:val="0"/>
                <w:sz w:val="18"/>
                <w:szCs w:val="18"/>
              </w:rPr>
              <w:t xml:space="preserve">38 </w:t>
            </w:r>
          </w:p>
        </w:tc>
        <w:tc>
          <w:tcPr>
            <w:tcW w:w="940" w:type="dxa"/>
            <w:tcBorders>
              <w:top w:val="nil"/>
              <w:left w:val="nil"/>
              <w:bottom w:val="dashed" w:sz="4" w:space="0" w:color="FF0000"/>
              <w:right w:val="single" w:sz="4" w:space="0" w:color="FF0000"/>
            </w:tcBorders>
            <w:shd w:val="clear" w:color="auto" w:fill="auto"/>
            <w:vAlign w:val="bottom"/>
            <w:hideMark/>
          </w:tcPr>
          <w:p w14:paraId="18E556C9"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2D674646"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5B856884" w14:textId="77777777" w:rsidR="00C94FA8" w:rsidRPr="00C94FA8" w:rsidRDefault="00C94FA8" w:rsidP="00C94FA8">
            <w:pPr>
              <w:widowControl/>
              <w:jc w:val="center"/>
              <w:rPr>
                <w:rFonts w:ascii="宋体" w:hAnsi="宋体" w:cs="宋体" w:hint="eastAsia"/>
                <w:color w:val="000000"/>
                <w:kern w:val="0"/>
                <w:sz w:val="18"/>
                <w:szCs w:val="18"/>
              </w:rPr>
            </w:pPr>
            <w:proofErr w:type="gramStart"/>
            <w:r w:rsidRPr="00C94FA8">
              <w:rPr>
                <w:rFonts w:ascii="宋体" w:hAnsi="宋体" w:cs="宋体" w:hint="eastAsia"/>
                <w:color w:val="000000"/>
                <w:kern w:val="0"/>
                <w:sz w:val="18"/>
                <w:szCs w:val="18"/>
              </w:rPr>
              <w:t>豆</w:t>
            </w:r>
            <w:proofErr w:type="gramEnd"/>
            <w:r w:rsidRPr="00C94FA8">
              <w:rPr>
                <w:rFonts w:ascii="宋体" w:hAnsi="宋体" w:cs="宋体" w:hint="eastAsia"/>
                <w:color w:val="000000"/>
                <w:kern w:val="0"/>
                <w:sz w:val="18"/>
                <w:szCs w:val="18"/>
              </w:rPr>
              <w:t xml:space="preserve">  油</w:t>
            </w:r>
          </w:p>
        </w:tc>
        <w:tc>
          <w:tcPr>
            <w:tcW w:w="1000" w:type="dxa"/>
            <w:tcBorders>
              <w:top w:val="nil"/>
              <w:left w:val="nil"/>
              <w:bottom w:val="dashed" w:sz="4" w:space="0" w:color="FF0000"/>
              <w:right w:val="dashed" w:sz="4" w:space="0" w:color="FF0000"/>
            </w:tcBorders>
            <w:shd w:val="clear" w:color="auto" w:fill="auto"/>
            <w:vAlign w:val="bottom"/>
            <w:hideMark/>
          </w:tcPr>
          <w:p w14:paraId="2807667F" w14:textId="77777777" w:rsidR="00C94FA8" w:rsidRPr="00C94FA8" w:rsidRDefault="00C94FA8" w:rsidP="00C94FA8">
            <w:pPr>
              <w:widowControl/>
              <w:jc w:val="center"/>
              <w:rPr>
                <w:rFonts w:hint="eastAsia"/>
                <w:kern w:val="0"/>
                <w:sz w:val="18"/>
                <w:szCs w:val="18"/>
              </w:rPr>
            </w:pPr>
            <w:r w:rsidRPr="00C94FA8">
              <w:rPr>
                <w:kern w:val="0"/>
                <w:sz w:val="18"/>
                <w:szCs w:val="18"/>
              </w:rPr>
              <w:t>5680</w:t>
            </w:r>
          </w:p>
        </w:tc>
        <w:tc>
          <w:tcPr>
            <w:tcW w:w="940" w:type="dxa"/>
            <w:tcBorders>
              <w:top w:val="nil"/>
              <w:left w:val="nil"/>
              <w:bottom w:val="dashed" w:sz="4" w:space="0" w:color="FF0000"/>
              <w:right w:val="dashed" w:sz="4" w:space="0" w:color="FF0000"/>
            </w:tcBorders>
            <w:shd w:val="clear" w:color="auto" w:fill="auto"/>
            <w:vAlign w:val="bottom"/>
            <w:hideMark/>
          </w:tcPr>
          <w:p w14:paraId="3EF3E81C" w14:textId="77777777" w:rsidR="00C94FA8" w:rsidRPr="00C94FA8" w:rsidRDefault="00C94FA8" w:rsidP="00C94FA8">
            <w:pPr>
              <w:widowControl/>
              <w:jc w:val="center"/>
              <w:rPr>
                <w:kern w:val="0"/>
                <w:sz w:val="18"/>
                <w:szCs w:val="18"/>
              </w:rPr>
            </w:pPr>
            <w:r w:rsidRPr="00C94FA8">
              <w:rPr>
                <w:kern w:val="0"/>
                <w:sz w:val="18"/>
                <w:szCs w:val="18"/>
              </w:rPr>
              <w:t xml:space="preserve">5650 </w:t>
            </w:r>
          </w:p>
        </w:tc>
        <w:tc>
          <w:tcPr>
            <w:tcW w:w="1000" w:type="dxa"/>
            <w:tcBorders>
              <w:top w:val="nil"/>
              <w:left w:val="nil"/>
              <w:bottom w:val="dashed" w:sz="4" w:space="0" w:color="FF0000"/>
              <w:right w:val="dashed" w:sz="4" w:space="0" w:color="FF0000"/>
            </w:tcBorders>
            <w:shd w:val="clear" w:color="auto" w:fill="auto"/>
            <w:vAlign w:val="bottom"/>
            <w:hideMark/>
          </w:tcPr>
          <w:p w14:paraId="2E1C4913" w14:textId="77777777" w:rsidR="00C94FA8" w:rsidRPr="00C94FA8" w:rsidRDefault="00C94FA8" w:rsidP="00C94FA8">
            <w:pPr>
              <w:widowControl/>
              <w:jc w:val="right"/>
              <w:rPr>
                <w:kern w:val="0"/>
                <w:sz w:val="18"/>
                <w:szCs w:val="18"/>
              </w:rPr>
            </w:pPr>
            <w:r w:rsidRPr="00C94FA8">
              <w:rPr>
                <w:kern w:val="0"/>
                <w:sz w:val="18"/>
                <w:szCs w:val="18"/>
              </w:rPr>
              <w:t>-0.53%</w:t>
            </w:r>
          </w:p>
        </w:tc>
        <w:tc>
          <w:tcPr>
            <w:tcW w:w="820" w:type="dxa"/>
            <w:tcBorders>
              <w:top w:val="nil"/>
              <w:left w:val="nil"/>
              <w:bottom w:val="dashed" w:sz="4" w:space="0" w:color="FF0000"/>
              <w:right w:val="dashed" w:sz="4" w:space="0" w:color="FF0000"/>
            </w:tcBorders>
            <w:shd w:val="clear" w:color="auto" w:fill="auto"/>
            <w:noWrap/>
            <w:vAlign w:val="bottom"/>
            <w:hideMark/>
          </w:tcPr>
          <w:p w14:paraId="0E2C1BA6" w14:textId="77777777" w:rsidR="00C94FA8" w:rsidRPr="00C94FA8" w:rsidRDefault="00C94FA8" w:rsidP="00C94FA8">
            <w:pPr>
              <w:widowControl/>
              <w:jc w:val="center"/>
              <w:rPr>
                <w:kern w:val="0"/>
                <w:sz w:val="18"/>
                <w:szCs w:val="18"/>
              </w:rPr>
            </w:pPr>
            <w:r w:rsidRPr="00C94FA8">
              <w:rPr>
                <w:kern w:val="0"/>
                <w:sz w:val="18"/>
                <w:szCs w:val="18"/>
              </w:rPr>
              <w:t>5688</w:t>
            </w:r>
          </w:p>
        </w:tc>
        <w:tc>
          <w:tcPr>
            <w:tcW w:w="1040" w:type="dxa"/>
            <w:tcBorders>
              <w:top w:val="nil"/>
              <w:left w:val="nil"/>
              <w:bottom w:val="dashed" w:sz="4" w:space="0" w:color="FF0000"/>
              <w:right w:val="dashed" w:sz="4" w:space="0" w:color="FF0000"/>
            </w:tcBorders>
            <w:shd w:val="clear" w:color="auto" w:fill="auto"/>
            <w:noWrap/>
            <w:vAlign w:val="bottom"/>
            <w:hideMark/>
          </w:tcPr>
          <w:p w14:paraId="4D2D5631" w14:textId="77777777" w:rsidR="00C94FA8" w:rsidRPr="00C94FA8" w:rsidRDefault="00C94FA8" w:rsidP="00C94FA8">
            <w:pPr>
              <w:widowControl/>
              <w:jc w:val="center"/>
              <w:rPr>
                <w:kern w:val="0"/>
                <w:sz w:val="18"/>
                <w:szCs w:val="18"/>
              </w:rPr>
            </w:pPr>
            <w:r w:rsidRPr="00C94FA8">
              <w:rPr>
                <w:kern w:val="0"/>
                <w:sz w:val="18"/>
                <w:szCs w:val="18"/>
              </w:rPr>
              <w:t xml:space="preserve">38 </w:t>
            </w:r>
          </w:p>
        </w:tc>
        <w:tc>
          <w:tcPr>
            <w:tcW w:w="940" w:type="dxa"/>
            <w:tcBorders>
              <w:top w:val="nil"/>
              <w:left w:val="nil"/>
              <w:bottom w:val="dashed" w:sz="4" w:space="0" w:color="FF0000"/>
              <w:right w:val="single" w:sz="4" w:space="0" w:color="FF0000"/>
            </w:tcBorders>
            <w:shd w:val="clear" w:color="auto" w:fill="auto"/>
            <w:vAlign w:val="bottom"/>
            <w:hideMark/>
          </w:tcPr>
          <w:p w14:paraId="5F507A0E"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49EAF90A"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6DFFC770" w14:textId="77777777" w:rsidR="00C94FA8" w:rsidRPr="00C94FA8" w:rsidRDefault="00C94FA8" w:rsidP="00C94FA8">
            <w:pPr>
              <w:widowControl/>
              <w:jc w:val="center"/>
              <w:rPr>
                <w:rFonts w:ascii="宋体" w:hAnsi="宋体" w:cs="宋体" w:hint="eastAsia"/>
                <w:color w:val="000000"/>
                <w:kern w:val="0"/>
                <w:sz w:val="18"/>
                <w:szCs w:val="18"/>
              </w:rPr>
            </w:pPr>
            <w:proofErr w:type="gramStart"/>
            <w:r w:rsidRPr="00C94FA8">
              <w:rPr>
                <w:rFonts w:ascii="宋体" w:hAnsi="宋体" w:cs="宋体" w:hint="eastAsia"/>
                <w:color w:val="000000"/>
                <w:kern w:val="0"/>
                <w:sz w:val="18"/>
                <w:szCs w:val="18"/>
              </w:rPr>
              <w:t>豆</w:t>
            </w:r>
            <w:proofErr w:type="gramEnd"/>
            <w:r w:rsidRPr="00C94FA8">
              <w:rPr>
                <w:rFonts w:ascii="宋体" w:hAnsi="宋体" w:cs="宋体" w:hint="eastAsia"/>
                <w:color w:val="000000"/>
                <w:kern w:val="0"/>
                <w:sz w:val="18"/>
                <w:szCs w:val="18"/>
              </w:rPr>
              <w:t xml:space="preserve">  </w:t>
            </w:r>
            <w:proofErr w:type="gramStart"/>
            <w:r w:rsidRPr="00C94FA8">
              <w:rPr>
                <w:rFonts w:ascii="宋体" w:hAnsi="宋体" w:cs="宋体" w:hint="eastAsia"/>
                <w:color w:val="000000"/>
                <w:kern w:val="0"/>
                <w:sz w:val="18"/>
                <w:szCs w:val="18"/>
              </w:rPr>
              <w:t>粕</w:t>
            </w:r>
            <w:proofErr w:type="gramEnd"/>
          </w:p>
        </w:tc>
        <w:tc>
          <w:tcPr>
            <w:tcW w:w="1000" w:type="dxa"/>
            <w:tcBorders>
              <w:top w:val="nil"/>
              <w:left w:val="nil"/>
              <w:bottom w:val="dashed" w:sz="4" w:space="0" w:color="FF0000"/>
              <w:right w:val="dashed" w:sz="4" w:space="0" w:color="FF0000"/>
            </w:tcBorders>
            <w:shd w:val="clear" w:color="auto" w:fill="auto"/>
            <w:vAlign w:val="bottom"/>
            <w:hideMark/>
          </w:tcPr>
          <w:p w14:paraId="089315FE" w14:textId="77777777" w:rsidR="00C94FA8" w:rsidRPr="00C94FA8" w:rsidRDefault="00C94FA8" w:rsidP="00C94FA8">
            <w:pPr>
              <w:widowControl/>
              <w:jc w:val="center"/>
              <w:rPr>
                <w:rFonts w:hint="eastAsia"/>
                <w:kern w:val="0"/>
                <w:sz w:val="18"/>
                <w:szCs w:val="18"/>
              </w:rPr>
            </w:pPr>
            <w:r w:rsidRPr="00C94FA8">
              <w:rPr>
                <w:kern w:val="0"/>
                <w:sz w:val="18"/>
                <w:szCs w:val="18"/>
              </w:rPr>
              <w:t>2750</w:t>
            </w:r>
          </w:p>
        </w:tc>
        <w:tc>
          <w:tcPr>
            <w:tcW w:w="940" w:type="dxa"/>
            <w:tcBorders>
              <w:top w:val="nil"/>
              <w:left w:val="nil"/>
              <w:bottom w:val="dashed" w:sz="4" w:space="0" w:color="FF0000"/>
              <w:right w:val="dashed" w:sz="4" w:space="0" w:color="FF0000"/>
            </w:tcBorders>
            <w:shd w:val="clear" w:color="auto" w:fill="auto"/>
            <w:vAlign w:val="bottom"/>
            <w:hideMark/>
          </w:tcPr>
          <w:p w14:paraId="0DBF5FF5" w14:textId="77777777" w:rsidR="00C94FA8" w:rsidRPr="00C94FA8" w:rsidRDefault="00C94FA8" w:rsidP="00C94FA8">
            <w:pPr>
              <w:widowControl/>
              <w:jc w:val="center"/>
              <w:rPr>
                <w:kern w:val="0"/>
                <w:sz w:val="18"/>
                <w:szCs w:val="18"/>
              </w:rPr>
            </w:pPr>
            <w:r w:rsidRPr="00C94FA8">
              <w:rPr>
                <w:kern w:val="0"/>
                <w:sz w:val="18"/>
                <w:szCs w:val="18"/>
              </w:rPr>
              <w:t xml:space="preserve">2750 </w:t>
            </w:r>
          </w:p>
        </w:tc>
        <w:tc>
          <w:tcPr>
            <w:tcW w:w="1000" w:type="dxa"/>
            <w:tcBorders>
              <w:top w:val="nil"/>
              <w:left w:val="nil"/>
              <w:bottom w:val="dashed" w:sz="4" w:space="0" w:color="FF0000"/>
              <w:right w:val="dashed" w:sz="4" w:space="0" w:color="FF0000"/>
            </w:tcBorders>
            <w:shd w:val="clear" w:color="auto" w:fill="auto"/>
            <w:vAlign w:val="bottom"/>
            <w:hideMark/>
          </w:tcPr>
          <w:p w14:paraId="01D0F3B4"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4821EE9F" w14:textId="77777777" w:rsidR="00C94FA8" w:rsidRPr="00C94FA8" w:rsidRDefault="00C94FA8" w:rsidP="00C94FA8">
            <w:pPr>
              <w:widowControl/>
              <w:jc w:val="center"/>
              <w:rPr>
                <w:kern w:val="0"/>
                <w:sz w:val="18"/>
                <w:szCs w:val="18"/>
              </w:rPr>
            </w:pPr>
            <w:r w:rsidRPr="00C94FA8">
              <w:rPr>
                <w:kern w:val="0"/>
                <w:sz w:val="18"/>
                <w:szCs w:val="18"/>
              </w:rPr>
              <w:t>2586</w:t>
            </w:r>
          </w:p>
        </w:tc>
        <w:tc>
          <w:tcPr>
            <w:tcW w:w="1040" w:type="dxa"/>
            <w:tcBorders>
              <w:top w:val="nil"/>
              <w:left w:val="nil"/>
              <w:bottom w:val="dashed" w:sz="4" w:space="0" w:color="FF0000"/>
              <w:right w:val="dashed" w:sz="4" w:space="0" w:color="FF0000"/>
            </w:tcBorders>
            <w:shd w:val="clear" w:color="auto" w:fill="auto"/>
            <w:noWrap/>
            <w:vAlign w:val="bottom"/>
            <w:hideMark/>
          </w:tcPr>
          <w:p w14:paraId="58CC2660" w14:textId="77777777" w:rsidR="00C94FA8" w:rsidRPr="00C94FA8" w:rsidRDefault="00C94FA8" w:rsidP="00C94FA8">
            <w:pPr>
              <w:widowControl/>
              <w:jc w:val="center"/>
              <w:rPr>
                <w:kern w:val="0"/>
                <w:sz w:val="18"/>
                <w:szCs w:val="18"/>
              </w:rPr>
            </w:pPr>
            <w:r w:rsidRPr="00C94FA8">
              <w:rPr>
                <w:kern w:val="0"/>
                <w:sz w:val="18"/>
                <w:szCs w:val="18"/>
              </w:rPr>
              <w:t xml:space="preserve">-164 </w:t>
            </w:r>
          </w:p>
        </w:tc>
        <w:tc>
          <w:tcPr>
            <w:tcW w:w="940" w:type="dxa"/>
            <w:tcBorders>
              <w:top w:val="nil"/>
              <w:left w:val="nil"/>
              <w:bottom w:val="dashed" w:sz="4" w:space="0" w:color="FF0000"/>
              <w:right w:val="single" w:sz="4" w:space="0" w:color="FF0000"/>
            </w:tcBorders>
            <w:shd w:val="clear" w:color="auto" w:fill="auto"/>
            <w:vAlign w:val="bottom"/>
            <w:hideMark/>
          </w:tcPr>
          <w:p w14:paraId="2AE90ED6"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729B262D"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5660D18B"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棕榈油</w:t>
            </w:r>
          </w:p>
        </w:tc>
        <w:tc>
          <w:tcPr>
            <w:tcW w:w="1000" w:type="dxa"/>
            <w:tcBorders>
              <w:top w:val="nil"/>
              <w:left w:val="nil"/>
              <w:bottom w:val="dashed" w:sz="4" w:space="0" w:color="FF0000"/>
              <w:right w:val="dashed" w:sz="4" w:space="0" w:color="FF0000"/>
            </w:tcBorders>
            <w:shd w:val="clear" w:color="auto" w:fill="auto"/>
            <w:vAlign w:val="bottom"/>
            <w:hideMark/>
          </w:tcPr>
          <w:p w14:paraId="5B53A453" w14:textId="77777777" w:rsidR="00C94FA8" w:rsidRPr="00C94FA8" w:rsidRDefault="00C94FA8" w:rsidP="00C94FA8">
            <w:pPr>
              <w:widowControl/>
              <w:jc w:val="center"/>
              <w:rPr>
                <w:rFonts w:hint="eastAsia"/>
                <w:kern w:val="0"/>
                <w:sz w:val="18"/>
                <w:szCs w:val="18"/>
              </w:rPr>
            </w:pPr>
            <w:r w:rsidRPr="00C94FA8">
              <w:rPr>
                <w:kern w:val="0"/>
                <w:sz w:val="18"/>
                <w:szCs w:val="18"/>
              </w:rPr>
              <w:t>4670</w:t>
            </w:r>
          </w:p>
        </w:tc>
        <w:tc>
          <w:tcPr>
            <w:tcW w:w="940" w:type="dxa"/>
            <w:tcBorders>
              <w:top w:val="nil"/>
              <w:left w:val="nil"/>
              <w:bottom w:val="dashed" w:sz="4" w:space="0" w:color="FF0000"/>
              <w:right w:val="dashed" w:sz="4" w:space="0" w:color="FF0000"/>
            </w:tcBorders>
            <w:shd w:val="clear" w:color="auto" w:fill="auto"/>
            <w:vAlign w:val="bottom"/>
            <w:hideMark/>
          </w:tcPr>
          <w:p w14:paraId="32D3F465" w14:textId="77777777" w:rsidR="00C94FA8" w:rsidRPr="00C94FA8" w:rsidRDefault="00C94FA8" w:rsidP="00C94FA8">
            <w:pPr>
              <w:widowControl/>
              <w:jc w:val="center"/>
              <w:rPr>
                <w:kern w:val="0"/>
                <w:sz w:val="18"/>
                <w:szCs w:val="18"/>
              </w:rPr>
            </w:pPr>
            <w:r w:rsidRPr="00C94FA8">
              <w:rPr>
                <w:kern w:val="0"/>
                <w:sz w:val="18"/>
                <w:szCs w:val="18"/>
              </w:rPr>
              <w:t xml:space="preserve">4660 </w:t>
            </w:r>
          </w:p>
        </w:tc>
        <w:tc>
          <w:tcPr>
            <w:tcW w:w="1000" w:type="dxa"/>
            <w:tcBorders>
              <w:top w:val="nil"/>
              <w:left w:val="nil"/>
              <w:bottom w:val="dashed" w:sz="4" w:space="0" w:color="FF0000"/>
              <w:right w:val="dashed" w:sz="4" w:space="0" w:color="FF0000"/>
            </w:tcBorders>
            <w:shd w:val="clear" w:color="auto" w:fill="auto"/>
            <w:vAlign w:val="bottom"/>
            <w:hideMark/>
          </w:tcPr>
          <w:p w14:paraId="0853A448" w14:textId="77777777" w:rsidR="00C94FA8" w:rsidRPr="00C94FA8" w:rsidRDefault="00C94FA8" w:rsidP="00C94FA8">
            <w:pPr>
              <w:widowControl/>
              <w:jc w:val="right"/>
              <w:rPr>
                <w:kern w:val="0"/>
                <w:sz w:val="18"/>
                <w:szCs w:val="18"/>
              </w:rPr>
            </w:pPr>
            <w:r w:rsidRPr="00C94FA8">
              <w:rPr>
                <w:kern w:val="0"/>
                <w:sz w:val="18"/>
                <w:szCs w:val="18"/>
              </w:rPr>
              <w:t>-0.21%</w:t>
            </w:r>
          </w:p>
        </w:tc>
        <w:tc>
          <w:tcPr>
            <w:tcW w:w="820" w:type="dxa"/>
            <w:tcBorders>
              <w:top w:val="nil"/>
              <w:left w:val="nil"/>
              <w:bottom w:val="dashed" w:sz="4" w:space="0" w:color="FF0000"/>
              <w:right w:val="dashed" w:sz="4" w:space="0" w:color="FF0000"/>
            </w:tcBorders>
            <w:shd w:val="clear" w:color="auto" w:fill="auto"/>
            <w:noWrap/>
            <w:vAlign w:val="bottom"/>
            <w:hideMark/>
          </w:tcPr>
          <w:p w14:paraId="0BD20C9E" w14:textId="77777777" w:rsidR="00C94FA8" w:rsidRPr="00C94FA8" w:rsidRDefault="00C94FA8" w:rsidP="00C94FA8">
            <w:pPr>
              <w:widowControl/>
              <w:jc w:val="center"/>
              <w:rPr>
                <w:kern w:val="0"/>
                <w:sz w:val="18"/>
                <w:szCs w:val="18"/>
              </w:rPr>
            </w:pPr>
            <w:r w:rsidRPr="00C94FA8">
              <w:rPr>
                <w:kern w:val="0"/>
                <w:sz w:val="18"/>
                <w:szCs w:val="18"/>
              </w:rPr>
              <w:t>4776</w:t>
            </w:r>
          </w:p>
        </w:tc>
        <w:tc>
          <w:tcPr>
            <w:tcW w:w="1040" w:type="dxa"/>
            <w:tcBorders>
              <w:top w:val="nil"/>
              <w:left w:val="nil"/>
              <w:bottom w:val="dashed" w:sz="4" w:space="0" w:color="FF0000"/>
              <w:right w:val="dashed" w:sz="4" w:space="0" w:color="FF0000"/>
            </w:tcBorders>
            <w:shd w:val="clear" w:color="auto" w:fill="auto"/>
            <w:noWrap/>
            <w:vAlign w:val="bottom"/>
            <w:hideMark/>
          </w:tcPr>
          <w:p w14:paraId="143AAE31" w14:textId="77777777" w:rsidR="00C94FA8" w:rsidRPr="00C94FA8" w:rsidRDefault="00C94FA8" w:rsidP="00C94FA8">
            <w:pPr>
              <w:widowControl/>
              <w:jc w:val="center"/>
              <w:rPr>
                <w:kern w:val="0"/>
                <w:sz w:val="18"/>
                <w:szCs w:val="18"/>
              </w:rPr>
            </w:pPr>
            <w:r w:rsidRPr="00C94FA8">
              <w:rPr>
                <w:kern w:val="0"/>
                <w:sz w:val="18"/>
                <w:szCs w:val="18"/>
              </w:rPr>
              <w:t xml:space="preserve">116 </w:t>
            </w:r>
          </w:p>
        </w:tc>
        <w:tc>
          <w:tcPr>
            <w:tcW w:w="940" w:type="dxa"/>
            <w:tcBorders>
              <w:top w:val="nil"/>
              <w:left w:val="nil"/>
              <w:bottom w:val="dashed" w:sz="4" w:space="0" w:color="FF0000"/>
              <w:right w:val="single" w:sz="4" w:space="0" w:color="FF0000"/>
            </w:tcBorders>
            <w:shd w:val="clear" w:color="auto" w:fill="auto"/>
            <w:vAlign w:val="bottom"/>
            <w:hideMark/>
          </w:tcPr>
          <w:p w14:paraId="2A394865"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2BB61D61"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4514843C"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玉  米</w:t>
            </w:r>
          </w:p>
        </w:tc>
        <w:tc>
          <w:tcPr>
            <w:tcW w:w="1000" w:type="dxa"/>
            <w:tcBorders>
              <w:top w:val="nil"/>
              <w:left w:val="nil"/>
              <w:bottom w:val="dashed" w:sz="4" w:space="0" w:color="FF0000"/>
              <w:right w:val="dashed" w:sz="4" w:space="0" w:color="FF0000"/>
            </w:tcBorders>
            <w:shd w:val="clear" w:color="auto" w:fill="auto"/>
            <w:vAlign w:val="bottom"/>
            <w:hideMark/>
          </w:tcPr>
          <w:p w14:paraId="3F21BD40" w14:textId="77777777" w:rsidR="00C94FA8" w:rsidRPr="00C94FA8" w:rsidRDefault="00C94FA8" w:rsidP="00C94FA8">
            <w:pPr>
              <w:widowControl/>
              <w:jc w:val="center"/>
              <w:rPr>
                <w:rFonts w:hint="eastAsia"/>
                <w:kern w:val="0"/>
                <w:sz w:val="18"/>
                <w:szCs w:val="18"/>
              </w:rPr>
            </w:pPr>
            <w:r w:rsidRPr="00C94FA8">
              <w:rPr>
                <w:kern w:val="0"/>
                <w:sz w:val="18"/>
                <w:szCs w:val="18"/>
              </w:rPr>
              <w:t>1880</w:t>
            </w:r>
          </w:p>
        </w:tc>
        <w:tc>
          <w:tcPr>
            <w:tcW w:w="940" w:type="dxa"/>
            <w:tcBorders>
              <w:top w:val="nil"/>
              <w:left w:val="nil"/>
              <w:bottom w:val="dashed" w:sz="4" w:space="0" w:color="FF0000"/>
              <w:right w:val="dashed" w:sz="4" w:space="0" w:color="FF0000"/>
            </w:tcBorders>
            <w:shd w:val="clear" w:color="auto" w:fill="auto"/>
            <w:vAlign w:val="bottom"/>
            <w:hideMark/>
          </w:tcPr>
          <w:p w14:paraId="0C6616B9" w14:textId="77777777" w:rsidR="00C94FA8" w:rsidRPr="00C94FA8" w:rsidRDefault="00C94FA8" w:rsidP="00C94FA8">
            <w:pPr>
              <w:widowControl/>
              <w:jc w:val="center"/>
              <w:rPr>
                <w:kern w:val="0"/>
                <w:sz w:val="18"/>
                <w:szCs w:val="18"/>
              </w:rPr>
            </w:pPr>
            <w:r w:rsidRPr="00C94FA8">
              <w:rPr>
                <w:kern w:val="0"/>
                <w:sz w:val="18"/>
                <w:szCs w:val="18"/>
              </w:rPr>
              <w:t xml:space="preserve">1860 </w:t>
            </w:r>
          </w:p>
        </w:tc>
        <w:tc>
          <w:tcPr>
            <w:tcW w:w="1000" w:type="dxa"/>
            <w:tcBorders>
              <w:top w:val="dashed" w:sz="4" w:space="0" w:color="FF0000"/>
              <w:left w:val="dashed" w:sz="4" w:space="0" w:color="FF0000"/>
              <w:bottom w:val="dashed" w:sz="4" w:space="0" w:color="FF0000"/>
              <w:right w:val="dashed" w:sz="4" w:space="0" w:color="FF0000"/>
            </w:tcBorders>
            <w:shd w:val="clear" w:color="000000" w:fill="008000"/>
            <w:vAlign w:val="bottom"/>
            <w:hideMark/>
          </w:tcPr>
          <w:p w14:paraId="43825BD9" w14:textId="77777777" w:rsidR="00C94FA8" w:rsidRPr="00C94FA8" w:rsidRDefault="00C94FA8" w:rsidP="00C94FA8">
            <w:pPr>
              <w:widowControl/>
              <w:jc w:val="right"/>
              <w:rPr>
                <w:kern w:val="0"/>
                <w:sz w:val="18"/>
                <w:szCs w:val="18"/>
              </w:rPr>
            </w:pPr>
            <w:r w:rsidRPr="00C94FA8">
              <w:rPr>
                <w:kern w:val="0"/>
                <w:sz w:val="18"/>
                <w:szCs w:val="18"/>
              </w:rPr>
              <w:t>-1.06%</w:t>
            </w:r>
          </w:p>
        </w:tc>
        <w:tc>
          <w:tcPr>
            <w:tcW w:w="820" w:type="dxa"/>
            <w:tcBorders>
              <w:top w:val="nil"/>
              <w:left w:val="nil"/>
              <w:bottom w:val="dashed" w:sz="4" w:space="0" w:color="FF0000"/>
              <w:right w:val="dashed" w:sz="4" w:space="0" w:color="FF0000"/>
            </w:tcBorders>
            <w:shd w:val="clear" w:color="auto" w:fill="auto"/>
            <w:noWrap/>
            <w:vAlign w:val="bottom"/>
            <w:hideMark/>
          </w:tcPr>
          <w:p w14:paraId="7B0A66D9" w14:textId="77777777" w:rsidR="00C94FA8" w:rsidRPr="00C94FA8" w:rsidRDefault="00C94FA8" w:rsidP="00C94FA8">
            <w:pPr>
              <w:widowControl/>
              <w:jc w:val="center"/>
              <w:rPr>
                <w:kern w:val="0"/>
                <w:sz w:val="18"/>
                <w:szCs w:val="18"/>
              </w:rPr>
            </w:pPr>
            <w:r w:rsidRPr="00C94FA8">
              <w:rPr>
                <w:kern w:val="0"/>
                <w:sz w:val="18"/>
                <w:szCs w:val="18"/>
              </w:rPr>
              <w:t>1836</w:t>
            </w:r>
          </w:p>
        </w:tc>
        <w:tc>
          <w:tcPr>
            <w:tcW w:w="1040" w:type="dxa"/>
            <w:tcBorders>
              <w:top w:val="nil"/>
              <w:left w:val="nil"/>
              <w:bottom w:val="dashed" w:sz="4" w:space="0" w:color="FF0000"/>
              <w:right w:val="dashed" w:sz="4" w:space="0" w:color="FF0000"/>
            </w:tcBorders>
            <w:shd w:val="clear" w:color="auto" w:fill="auto"/>
            <w:noWrap/>
            <w:vAlign w:val="bottom"/>
            <w:hideMark/>
          </w:tcPr>
          <w:p w14:paraId="59189CEC" w14:textId="77777777" w:rsidR="00C94FA8" w:rsidRPr="00C94FA8" w:rsidRDefault="00C94FA8" w:rsidP="00C94FA8">
            <w:pPr>
              <w:widowControl/>
              <w:jc w:val="center"/>
              <w:rPr>
                <w:kern w:val="0"/>
                <w:sz w:val="18"/>
                <w:szCs w:val="18"/>
              </w:rPr>
            </w:pPr>
            <w:r w:rsidRPr="00C94FA8">
              <w:rPr>
                <w:kern w:val="0"/>
                <w:sz w:val="18"/>
                <w:szCs w:val="18"/>
              </w:rPr>
              <w:t xml:space="preserve">-24 </w:t>
            </w:r>
          </w:p>
        </w:tc>
        <w:tc>
          <w:tcPr>
            <w:tcW w:w="940" w:type="dxa"/>
            <w:tcBorders>
              <w:top w:val="nil"/>
              <w:left w:val="nil"/>
              <w:bottom w:val="dashed" w:sz="4" w:space="0" w:color="FF0000"/>
              <w:right w:val="single" w:sz="4" w:space="0" w:color="FF0000"/>
            </w:tcBorders>
            <w:shd w:val="clear" w:color="auto" w:fill="auto"/>
            <w:vAlign w:val="bottom"/>
            <w:hideMark/>
          </w:tcPr>
          <w:p w14:paraId="204900F3"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5BE3FD62"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0491E770"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白  糖</w:t>
            </w:r>
          </w:p>
        </w:tc>
        <w:tc>
          <w:tcPr>
            <w:tcW w:w="1000" w:type="dxa"/>
            <w:tcBorders>
              <w:top w:val="nil"/>
              <w:left w:val="nil"/>
              <w:bottom w:val="dashed" w:sz="4" w:space="0" w:color="FF0000"/>
              <w:right w:val="dashed" w:sz="4" w:space="0" w:color="FF0000"/>
            </w:tcBorders>
            <w:shd w:val="clear" w:color="auto" w:fill="auto"/>
            <w:vAlign w:val="bottom"/>
            <w:hideMark/>
          </w:tcPr>
          <w:p w14:paraId="6C6854F4" w14:textId="77777777" w:rsidR="00C94FA8" w:rsidRPr="00C94FA8" w:rsidRDefault="00C94FA8" w:rsidP="00C94FA8">
            <w:pPr>
              <w:widowControl/>
              <w:jc w:val="center"/>
              <w:rPr>
                <w:rFonts w:hint="eastAsia"/>
                <w:kern w:val="0"/>
                <w:sz w:val="18"/>
                <w:szCs w:val="18"/>
              </w:rPr>
            </w:pPr>
            <w:r w:rsidRPr="00C94FA8">
              <w:rPr>
                <w:kern w:val="0"/>
                <w:sz w:val="18"/>
                <w:szCs w:val="18"/>
              </w:rPr>
              <w:t>5230</w:t>
            </w:r>
          </w:p>
        </w:tc>
        <w:tc>
          <w:tcPr>
            <w:tcW w:w="940" w:type="dxa"/>
            <w:tcBorders>
              <w:top w:val="nil"/>
              <w:left w:val="nil"/>
              <w:bottom w:val="dashed" w:sz="4" w:space="0" w:color="FF0000"/>
              <w:right w:val="dashed" w:sz="4" w:space="0" w:color="FF0000"/>
            </w:tcBorders>
            <w:shd w:val="clear" w:color="auto" w:fill="auto"/>
            <w:vAlign w:val="bottom"/>
            <w:hideMark/>
          </w:tcPr>
          <w:p w14:paraId="7990075A" w14:textId="77777777" w:rsidR="00C94FA8" w:rsidRPr="00C94FA8" w:rsidRDefault="00C94FA8" w:rsidP="00C94FA8">
            <w:pPr>
              <w:widowControl/>
              <w:jc w:val="center"/>
              <w:rPr>
                <w:kern w:val="0"/>
                <w:sz w:val="18"/>
                <w:szCs w:val="18"/>
              </w:rPr>
            </w:pPr>
            <w:r w:rsidRPr="00C94FA8">
              <w:rPr>
                <w:kern w:val="0"/>
                <w:sz w:val="18"/>
                <w:szCs w:val="18"/>
              </w:rPr>
              <w:t xml:space="preserve">5190 </w:t>
            </w:r>
          </w:p>
        </w:tc>
        <w:tc>
          <w:tcPr>
            <w:tcW w:w="1000" w:type="dxa"/>
            <w:tcBorders>
              <w:top w:val="nil"/>
              <w:left w:val="nil"/>
              <w:bottom w:val="dashed" w:sz="4" w:space="0" w:color="FF0000"/>
              <w:right w:val="dashed" w:sz="4" w:space="0" w:color="FF0000"/>
            </w:tcBorders>
            <w:shd w:val="clear" w:color="auto" w:fill="auto"/>
            <w:vAlign w:val="bottom"/>
            <w:hideMark/>
          </w:tcPr>
          <w:p w14:paraId="25770B7F" w14:textId="77777777" w:rsidR="00C94FA8" w:rsidRPr="00C94FA8" w:rsidRDefault="00C94FA8" w:rsidP="00C94FA8">
            <w:pPr>
              <w:widowControl/>
              <w:jc w:val="right"/>
              <w:rPr>
                <w:kern w:val="0"/>
                <w:sz w:val="18"/>
                <w:szCs w:val="18"/>
              </w:rPr>
            </w:pPr>
            <w:r w:rsidRPr="00C94FA8">
              <w:rPr>
                <w:kern w:val="0"/>
                <w:sz w:val="18"/>
                <w:szCs w:val="18"/>
              </w:rPr>
              <w:t>-0.76%</w:t>
            </w:r>
          </w:p>
        </w:tc>
        <w:tc>
          <w:tcPr>
            <w:tcW w:w="820" w:type="dxa"/>
            <w:tcBorders>
              <w:top w:val="nil"/>
              <w:left w:val="nil"/>
              <w:bottom w:val="dashed" w:sz="4" w:space="0" w:color="FF0000"/>
              <w:right w:val="dashed" w:sz="4" w:space="0" w:color="FF0000"/>
            </w:tcBorders>
            <w:shd w:val="clear" w:color="auto" w:fill="auto"/>
            <w:noWrap/>
            <w:vAlign w:val="bottom"/>
            <w:hideMark/>
          </w:tcPr>
          <w:p w14:paraId="6300CE18" w14:textId="77777777" w:rsidR="00C94FA8" w:rsidRPr="00C94FA8" w:rsidRDefault="00C94FA8" w:rsidP="00C94FA8">
            <w:pPr>
              <w:widowControl/>
              <w:jc w:val="center"/>
              <w:rPr>
                <w:kern w:val="0"/>
                <w:sz w:val="18"/>
                <w:szCs w:val="18"/>
              </w:rPr>
            </w:pPr>
            <w:r w:rsidRPr="00C94FA8">
              <w:rPr>
                <w:kern w:val="0"/>
                <w:sz w:val="18"/>
                <w:szCs w:val="18"/>
              </w:rPr>
              <w:t>5053</w:t>
            </w:r>
          </w:p>
        </w:tc>
        <w:tc>
          <w:tcPr>
            <w:tcW w:w="1040" w:type="dxa"/>
            <w:tcBorders>
              <w:top w:val="nil"/>
              <w:left w:val="nil"/>
              <w:bottom w:val="dashed" w:sz="4" w:space="0" w:color="FF0000"/>
              <w:right w:val="dashed" w:sz="4" w:space="0" w:color="FF0000"/>
            </w:tcBorders>
            <w:shd w:val="clear" w:color="auto" w:fill="auto"/>
            <w:noWrap/>
            <w:vAlign w:val="bottom"/>
            <w:hideMark/>
          </w:tcPr>
          <w:p w14:paraId="30EF4915" w14:textId="77777777" w:rsidR="00C94FA8" w:rsidRPr="00C94FA8" w:rsidRDefault="00C94FA8" w:rsidP="00C94FA8">
            <w:pPr>
              <w:widowControl/>
              <w:jc w:val="center"/>
              <w:rPr>
                <w:kern w:val="0"/>
                <w:sz w:val="18"/>
                <w:szCs w:val="18"/>
              </w:rPr>
            </w:pPr>
            <w:r w:rsidRPr="00C94FA8">
              <w:rPr>
                <w:kern w:val="0"/>
                <w:sz w:val="18"/>
                <w:szCs w:val="18"/>
              </w:rPr>
              <w:t xml:space="preserve">-137 </w:t>
            </w:r>
          </w:p>
        </w:tc>
        <w:tc>
          <w:tcPr>
            <w:tcW w:w="940" w:type="dxa"/>
            <w:tcBorders>
              <w:top w:val="nil"/>
              <w:left w:val="nil"/>
              <w:bottom w:val="dashed" w:sz="4" w:space="0" w:color="FF0000"/>
              <w:right w:val="single" w:sz="4" w:space="0" w:color="FF0000"/>
            </w:tcBorders>
            <w:shd w:val="clear" w:color="auto" w:fill="auto"/>
            <w:vAlign w:val="bottom"/>
            <w:hideMark/>
          </w:tcPr>
          <w:p w14:paraId="66D386B7"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70FCF945"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547C8FD0"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郑  棉</w:t>
            </w:r>
          </w:p>
        </w:tc>
        <w:tc>
          <w:tcPr>
            <w:tcW w:w="1000" w:type="dxa"/>
            <w:tcBorders>
              <w:top w:val="nil"/>
              <w:left w:val="nil"/>
              <w:bottom w:val="dashed" w:sz="4" w:space="0" w:color="FF0000"/>
              <w:right w:val="dashed" w:sz="4" w:space="0" w:color="FF0000"/>
            </w:tcBorders>
            <w:shd w:val="clear" w:color="auto" w:fill="auto"/>
            <w:vAlign w:val="bottom"/>
            <w:hideMark/>
          </w:tcPr>
          <w:p w14:paraId="49A5F807" w14:textId="77777777" w:rsidR="00C94FA8" w:rsidRPr="00C94FA8" w:rsidRDefault="00C94FA8" w:rsidP="00C94FA8">
            <w:pPr>
              <w:widowControl/>
              <w:jc w:val="center"/>
              <w:rPr>
                <w:rFonts w:hint="eastAsia"/>
                <w:kern w:val="0"/>
                <w:sz w:val="18"/>
                <w:szCs w:val="18"/>
              </w:rPr>
            </w:pPr>
            <w:r w:rsidRPr="00C94FA8">
              <w:rPr>
                <w:kern w:val="0"/>
                <w:sz w:val="18"/>
                <w:szCs w:val="18"/>
              </w:rPr>
              <w:t>15499</w:t>
            </w:r>
          </w:p>
        </w:tc>
        <w:tc>
          <w:tcPr>
            <w:tcW w:w="940" w:type="dxa"/>
            <w:tcBorders>
              <w:top w:val="nil"/>
              <w:left w:val="nil"/>
              <w:bottom w:val="dashed" w:sz="4" w:space="0" w:color="FF0000"/>
              <w:right w:val="dashed" w:sz="4" w:space="0" w:color="FF0000"/>
            </w:tcBorders>
            <w:shd w:val="clear" w:color="auto" w:fill="auto"/>
            <w:vAlign w:val="bottom"/>
            <w:hideMark/>
          </w:tcPr>
          <w:p w14:paraId="7F28F9BC" w14:textId="77777777" w:rsidR="00C94FA8" w:rsidRPr="00C94FA8" w:rsidRDefault="00C94FA8" w:rsidP="00C94FA8">
            <w:pPr>
              <w:widowControl/>
              <w:jc w:val="center"/>
              <w:rPr>
                <w:kern w:val="0"/>
                <w:sz w:val="18"/>
                <w:szCs w:val="18"/>
              </w:rPr>
            </w:pPr>
            <w:r w:rsidRPr="00C94FA8">
              <w:rPr>
                <w:kern w:val="0"/>
                <w:sz w:val="18"/>
                <w:szCs w:val="18"/>
              </w:rPr>
              <w:t xml:space="preserve">15489 </w:t>
            </w:r>
          </w:p>
        </w:tc>
        <w:tc>
          <w:tcPr>
            <w:tcW w:w="1000" w:type="dxa"/>
            <w:tcBorders>
              <w:top w:val="nil"/>
              <w:left w:val="nil"/>
              <w:bottom w:val="dashed" w:sz="4" w:space="0" w:color="FF0000"/>
              <w:right w:val="dashed" w:sz="4" w:space="0" w:color="FF0000"/>
            </w:tcBorders>
            <w:shd w:val="clear" w:color="auto" w:fill="auto"/>
            <w:vAlign w:val="bottom"/>
            <w:hideMark/>
          </w:tcPr>
          <w:p w14:paraId="62018F4A" w14:textId="77777777" w:rsidR="00C94FA8" w:rsidRPr="00C94FA8" w:rsidRDefault="00C94FA8" w:rsidP="00C94FA8">
            <w:pPr>
              <w:widowControl/>
              <w:jc w:val="right"/>
              <w:rPr>
                <w:kern w:val="0"/>
                <w:sz w:val="18"/>
                <w:szCs w:val="18"/>
              </w:rPr>
            </w:pPr>
            <w:r w:rsidRPr="00C94FA8">
              <w:rPr>
                <w:kern w:val="0"/>
                <w:sz w:val="18"/>
                <w:szCs w:val="18"/>
              </w:rPr>
              <w:t>-0.06%</w:t>
            </w:r>
          </w:p>
        </w:tc>
        <w:tc>
          <w:tcPr>
            <w:tcW w:w="820" w:type="dxa"/>
            <w:tcBorders>
              <w:top w:val="nil"/>
              <w:left w:val="nil"/>
              <w:bottom w:val="dashed" w:sz="4" w:space="0" w:color="FF0000"/>
              <w:right w:val="dashed" w:sz="4" w:space="0" w:color="FF0000"/>
            </w:tcBorders>
            <w:shd w:val="clear" w:color="auto" w:fill="auto"/>
            <w:noWrap/>
            <w:vAlign w:val="bottom"/>
            <w:hideMark/>
          </w:tcPr>
          <w:p w14:paraId="70E2FC98" w14:textId="77777777" w:rsidR="00C94FA8" w:rsidRPr="00C94FA8" w:rsidRDefault="00C94FA8" w:rsidP="00C94FA8">
            <w:pPr>
              <w:widowControl/>
              <w:jc w:val="center"/>
              <w:rPr>
                <w:kern w:val="0"/>
                <w:sz w:val="18"/>
                <w:szCs w:val="18"/>
              </w:rPr>
            </w:pPr>
            <w:r w:rsidRPr="00C94FA8">
              <w:rPr>
                <w:kern w:val="0"/>
                <w:sz w:val="18"/>
                <w:szCs w:val="18"/>
              </w:rPr>
              <w:t>15050</w:t>
            </w:r>
          </w:p>
        </w:tc>
        <w:tc>
          <w:tcPr>
            <w:tcW w:w="1040" w:type="dxa"/>
            <w:tcBorders>
              <w:top w:val="nil"/>
              <w:left w:val="nil"/>
              <w:bottom w:val="dashed" w:sz="4" w:space="0" w:color="FF0000"/>
              <w:right w:val="dashed" w:sz="4" w:space="0" w:color="FF0000"/>
            </w:tcBorders>
            <w:shd w:val="clear" w:color="auto" w:fill="auto"/>
            <w:noWrap/>
            <w:vAlign w:val="bottom"/>
            <w:hideMark/>
          </w:tcPr>
          <w:p w14:paraId="4F0156F1" w14:textId="77777777" w:rsidR="00C94FA8" w:rsidRPr="00C94FA8" w:rsidRDefault="00C94FA8" w:rsidP="00C94FA8">
            <w:pPr>
              <w:widowControl/>
              <w:jc w:val="center"/>
              <w:rPr>
                <w:kern w:val="0"/>
                <w:sz w:val="18"/>
                <w:szCs w:val="18"/>
              </w:rPr>
            </w:pPr>
            <w:r w:rsidRPr="00C94FA8">
              <w:rPr>
                <w:kern w:val="0"/>
                <w:sz w:val="18"/>
                <w:szCs w:val="18"/>
              </w:rPr>
              <w:t xml:space="preserve">-439 </w:t>
            </w:r>
          </w:p>
        </w:tc>
        <w:tc>
          <w:tcPr>
            <w:tcW w:w="940" w:type="dxa"/>
            <w:tcBorders>
              <w:top w:val="nil"/>
              <w:left w:val="nil"/>
              <w:bottom w:val="dashed" w:sz="4" w:space="0" w:color="FF0000"/>
              <w:right w:val="single" w:sz="4" w:space="0" w:color="FF0000"/>
            </w:tcBorders>
            <w:shd w:val="clear" w:color="auto" w:fill="auto"/>
            <w:vAlign w:val="bottom"/>
            <w:hideMark/>
          </w:tcPr>
          <w:p w14:paraId="017141FB"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457F9E84"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33F3CA06"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菜  油</w:t>
            </w:r>
          </w:p>
        </w:tc>
        <w:tc>
          <w:tcPr>
            <w:tcW w:w="1000" w:type="dxa"/>
            <w:tcBorders>
              <w:top w:val="nil"/>
              <w:left w:val="nil"/>
              <w:bottom w:val="dashed" w:sz="4" w:space="0" w:color="FF0000"/>
              <w:right w:val="dashed" w:sz="4" w:space="0" w:color="FF0000"/>
            </w:tcBorders>
            <w:shd w:val="clear" w:color="auto" w:fill="auto"/>
            <w:vAlign w:val="bottom"/>
            <w:hideMark/>
          </w:tcPr>
          <w:p w14:paraId="2A9A143C" w14:textId="77777777" w:rsidR="00C94FA8" w:rsidRPr="00C94FA8" w:rsidRDefault="00C94FA8" w:rsidP="00C94FA8">
            <w:pPr>
              <w:widowControl/>
              <w:jc w:val="center"/>
              <w:rPr>
                <w:rFonts w:hint="eastAsia"/>
                <w:kern w:val="0"/>
                <w:sz w:val="18"/>
                <w:szCs w:val="18"/>
              </w:rPr>
            </w:pPr>
            <w:r w:rsidRPr="00C94FA8">
              <w:rPr>
                <w:kern w:val="0"/>
                <w:sz w:val="18"/>
                <w:szCs w:val="18"/>
              </w:rPr>
              <w:t>6640</w:t>
            </w:r>
          </w:p>
        </w:tc>
        <w:tc>
          <w:tcPr>
            <w:tcW w:w="940" w:type="dxa"/>
            <w:tcBorders>
              <w:top w:val="nil"/>
              <w:left w:val="nil"/>
              <w:bottom w:val="dashed" w:sz="4" w:space="0" w:color="FF0000"/>
              <w:right w:val="dashed" w:sz="4" w:space="0" w:color="FF0000"/>
            </w:tcBorders>
            <w:shd w:val="clear" w:color="auto" w:fill="auto"/>
            <w:vAlign w:val="bottom"/>
            <w:hideMark/>
          </w:tcPr>
          <w:p w14:paraId="74070348" w14:textId="77777777" w:rsidR="00C94FA8" w:rsidRPr="00C94FA8" w:rsidRDefault="00C94FA8" w:rsidP="00C94FA8">
            <w:pPr>
              <w:widowControl/>
              <w:jc w:val="center"/>
              <w:rPr>
                <w:kern w:val="0"/>
                <w:sz w:val="18"/>
                <w:szCs w:val="18"/>
              </w:rPr>
            </w:pPr>
            <w:r w:rsidRPr="00C94FA8">
              <w:rPr>
                <w:kern w:val="0"/>
                <w:sz w:val="18"/>
                <w:szCs w:val="18"/>
              </w:rPr>
              <w:t xml:space="preserve">6590 </w:t>
            </w:r>
          </w:p>
        </w:tc>
        <w:tc>
          <w:tcPr>
            <w:tcW w:w="1000" w:type="dxa"/>
            <w:tcBorders>
              <w:top w:val="nil"/>
              <w:left w:val="nil"/>
              <w:bottom w:val="dashed" w:sz="4" w:space="0" w:color="FF0000"/>
              <w:right w:val="dashed" w:sz="4" w:space="0" w:color="FF0000"/>
            </w:tcBorders>
            <w:shd w:val="clear" w:color="auto" w:fill="auto"/>
            <w:vAlign w:val="bottom"/>
            <w:hideMark/>
          </w:tcPr>
          <w:p w14:paraId="4C15D7EB" w14:textId="77777777" w:rsidR="00C94FA8" w:rsidRPr="00C94FA8" w:rsidRDefault="00C94FA8" w:rsidP="00C94FA8">
            <w:pPr>
              <w:widowControl/>
              <w:jc w:val="right"/>
              <w:rPr>
                <w:kern w:val="0"/>
                <w:sz w:val="18"/>
                <w:szCs w:val="18"/>
              </w:rPr>
            </w:pPr>
            <w:r w:rsidRPr="00C94FA8">
              <w:rPr>
                <w:kern w:val="0"/>
                <w:sz w:val="18"/>
                <w:szCs w:val="18"/>
              </w:rPr>
              <w:t>-0.75%</w:t>
            </w:r>
          </w:p>
        </w:tc>
        <w:tc>
          <w:tcPr>
            <w:tcW w:w="820" w:type="dxa"/>
            <w:tcBorders>
              <w:top w:val="nil"/>
              <w:left w:val="nil"/>
              <w:bottom w:val="dashed" w:sz="4" w:space="0" w:color="FF0000"/>
              <w:right w:val="dashed" w:sz="4" w:space="0" w:color="FF0000"/>
            </w:tcBorders>
            <w:shd w:val="clear" w:color="auto" w:fill="auto"/>
            <w:noWrap/>
            <w:vAlign w:val="bottom"/>
            <w:hideMark/>
          </w:tcPr>
          <w:p w14:paraId="7D092876" w14:textId="77777777" w:rsidR="00C94FA8" w:rsidRPr="00C94FA8" w:rsidRDefault="00C94FA8" w:rsidP="00C94FA8">
            <w:pPr>
              <w:widowControl/>
              <w:jc w:val="center"/>
              <w:rPr>
                <w:kern w:val="0"/>
                <w:sz w:val="18"/>
                <w:szCs w:val="18"/>
              </w:rPr>
            </w:pPr>
            <w:r w:rsidRPr="00C94FA8">
              <w:rPr>
                <w:kern w:val="0"/>
                <w:sz w:val="18"/>
                <w:szCs w:val="18"/>
              </w:rPr>
              <w:t>6676</w:t>
            </w:r>
          </w:p>
        </w:tc>
        <w:tc>
          <w:tcPr>
            <w:tcW w:w="1040" w:type="dxa"/>
            <w:tcBorders>
              <w:top w:val="nil"/>
              <w:left w:val="nil"/>
              <w:bottom w:val="dashed" w:sz="4" w:space="0" w:color="FF0000"/>
              <w:right w:val="dashed" w:sz="4" w:space="0" w:color="FF0000"/>
            </w:tcBorders>
            <w:shd w:val="clear" w:color="auto" w:fill="auto"/>
            <w:noWrap/>
            <w:vAlign w:val="bottom"/>
            <w:hideMark/>
          </w:tcPr>
          <w:p w14:paraId="63622BC1" w14:textId="77777777" w:rsidR="00C94FA8" w:rsidRPr="00C94FA8" w:rsidRDefault="00C94FA8" w:rsidP="00C94FA8">
            <w:pPr>
              <w:widowControl/>
              <w:jc w:val="center"/>
              <w:rPr>
                <w:kern w:val="0"/>
                <w:sz w:val="18"/>
                <w:szCs w:val="18"/>
              </w:rPr>
            </w:pPr>
            <w:r w:rsidRPr="00C94FA8">
              <w:rPr>
                <w:kern w:val="0"/>
                <w:sz w:val="18"/>
                <w:szCs w:val="18"/>
              </w:rPr>
              <w:t xml:space="preserve">86 </w:t>
            </w:r>
          </w:p>
        </w:tc>
        <w:tc>
          <w:tcPr>
            <w:tcW w:w="940" w:type="dxa"/>
            <w:tcBorders>
              <w:top w:val="nil"/>
              <w:left w:val="nil"/>
              <w:bottom w:val="dashed" w:sz="4" w:space="0" w:color="FF0000"/>
              <w:right w:val="single" w:sz="4" w:space="0" w:color="FF0000"/>
            </w:tcBorders>
            <w:shd w:val="clear" w:color="auto" w:fill="auto"/>
            <w:vAlign w:val="bottom"/>
            <w:hideMark/>
          </w:tcPr>
          <w:p w14:paraId="483572BD"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523C2E88"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4BF11055" w14:textId="77777777" w:rsidR="00C94FA8" w:rsidRPr="00C94FA8" w:rsidRDefault="00C94FA8" w:rsidP="00C94FA8">
            <w:pPr>
              <w:widowControl/>
              <w:jc w:val="center"/>
              <w:rPr>
                <w:rFonts w:ascii="宋体" w:hAnsi="宋体" w:cs="宋体" w:hint="eastAsia"/>
                <w:kern w:val="0"/>
                <w:sz w:val="18"/>
                <w:szCs w:val="18"/>
              </w:rPr>
            </w:pPr>
            <w:r w:rsidRPr="00C94FA8">
              <w:rPr>
                <w:rFonts w:ascii="宋体" w:hAnsi="宋体" w:cs="宋体" w:hint="eastAsia"/>
                <w:kern w:val="0"/>
                <w:sz w:val="18"/>
                <w:szCs w:val="18"/>
              </w:rPr>
              <w:t xml:space="preserve">菜  </w:t>
            </w:r>
            <w:proofErr w:type="gramStart"/>
            <w:r w:rsidRPr="00C94FA8">
              <w:rPr>
                <w:rFonts w:ascii="宋体" w:hAnsi="宋体" w:cs="宋体" w:hint="eastAsia"/>
                <w:kern w:val="0"/>
                <w:sz w:val="18"/>
                <w:szCs w:val="18"/>
              </w:rPr>
              <w:t>粕</w:t>
            </w:r>
            <w:proofErr w:type="gramEnd"/>
          </w:p>
        </w:tc>
        <w:tc>
          <w:tcPr>
            <w:tcW w:w="1000" w:type="dxa"/>
            <w:tcBorders>
              <w:top w:val="nil"/>
              <w:left w:val="nil"/>
              <w:bottom w:val="dashed" w:sz="4" w:space="0" w:color="FF0000"/>
              <w:right w:val="dashed" w:sz="4" w:space="0" w:color="FF0000"/>
            </w:tcBorders>
            <w:shd w:val="clear" w:color="auto" w:fill="auto"/>
            <w:vAlign w:val="bottom"/>
            <w:hideMark/>
          </w:tcPr>
          <w:p w14:paraId="7A0C79AC" w14:textId="77777777" w:rsidR="00C94FA8" w:rsidRPr="00C94FA8" w:rsidRDefault="00C94FA8" w:rsidP="00C94FA8">
            <w:pPr>
              <w:widowControl/>
              <w:jc w:val="center"/>
              <w:rPr>
                <w:rFonts w:hint="eastAsia"/>
                <w:kern w:val="0"/>
                <w:sz w:val="18"/>
                <w:szCs w:val="18"/>
              </w:rPr>
            </w:pPr>
            <w:r w:rsidRPr="00C94FA8">
              <w:rPr>
                <w:kern w:val="0"/>
                <w:sz w:val="18"/>
                <w:szCs w:val="18"/>
              </w:rPr>
              <w:t>2170</w:t>
            </w:r>
          </w:p>
        </w:tc>
        <w:tc>
          <w:tcPr>
            <w:tcW w:w="940" w:type="dxa"/>
            <w:tcBorders>
              <w:top w:val="nil"/>
              <w:left w:val="nil"/>
              <w:bottom w:val="dashed" w:sz="4" w:space="0" w:color="FF0000"/>
              <w:right w:val="dashed" w:sz="4" w:space="0" w:color="FF0000"/>
            </w:tcBorders>
            <w:shd w:val="clear" w:color="auto" w:fill="auto"/>
            <w:vAlign w:val="bottom"/>
            <w:hideMark/>
          </w:tcPr>
          <w:p w14:paraId="4BA4B1CC" w14:textId="77777777" w:rsidR="00C94FA8" w:rsidRPr="00C94FA8" w:rsidRDefault="00C94FA8" w:rsidP="00C94FA8">
            <w:pPr>
              <w:widowControl/>
              <w:jc w:val="center"/>
              <w:rPr>
                <w:kern w:val="0"/>
                <w:sz w:val="18"/>
                <w:szCs w:val="18"/>
              </w:rPr>
            </w:pPr>
            <w:r w:rsidRPr="00C94FA8">
              <w:rPr>
                <w:kern w:val="0"/>
                <w:sz w:val="18"/>
                <w:szCs w:val="18"/>
              </w:rPr>
              <w:t xml:space="preserve">2170 </w:t>
            </w:r>
          </w:p>
        </w:tc>
        <w:tc>
          <w:tcPr>
            <w:tcW w:w="1000" w:type="dxa"/>
            <w:tcBorders>
              <w:top w:val="nil"/>
              <w:left w:val="nil"/>
              <w:bottom w:val="dashed" w:sz="4" w:space="0" w:color="FF0000"/>
              <w:right w:val="dashed" w:sz="4" w:space="0" w:color="FF0000"/>
            </w:tcBorders>
            <w:shd w:val="clear" w:color="auto" w:fill="auto"/>
            <w:vAlign w:val="bottom"/>
            <w:hideMark/>
          </w:tcPr>
          <w:p w14:paraId="0845B1C2"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74C1205D" w14:textId="77777777" w:rsidR="00C94FA8" w:rsidRPr="00C94FA8" w:rsidRDefault="00C94FA8" w:rsidP="00C94FA8">
            <w:pPr>
              <w:widowControl/>
              <w:jc w:val="center"/>
              <w:rPr>
                <w:kern w:val="0"/>
                <w:sz w:val="18"/>
                <w:szCs w:val="18"/>
              </w:rPr>
            </w:pPr>
            <w:r w:rsidRPr="00C94FA8">
              <w:rPr>
                <w:kern w:val="0"/>
                <w:sz w:val="18"/>
                <w:szCs w:val="18"/>
              </w:rPr>
              <w:t>2167</w:t>
            </w:r>
          </w:p>
        </w:tc>
        <w:tc>
          <w:tcPr>
            <w:tcW w:w="1040" w:type="dxa"/>
            <w:tcBorders>
              <w:top w:val="nil"/>
              <w:left w:val="nil"/>
              <w:bottom w:val="dashed" w:sz="4" w:space="0" w:color="FF0000"/>
              <w:right w:val="dashed" w:sz="4" w:space="0" w:color="FF0000"/>
            </w:tcBorders>
            <w:shd w:val="clear" w:color="auto" w:fill="auto"/>
            <w:noWrap/>
            <w:vAlign w:val="bottom"/>
            <w:hideMark/>
          </w:tcPr>
          <w:p w14:paraId="3003752A" w14:textId="77777777" w:rsidR="00C94FA8" w:rsidRPr="00C94FA8" w:rsidRDefault="00C94FA8" w:rsidP="00C94FA8">
            <w:pPr>
              <w:widowControl/>
              <w:jc w:val="center"/>
              <w:rPr>
                <w:kern w:val="0"/>
                <w:sz w:val="18"/>
                <w:szCs w:val="18"/>
              </w:rPr>
            </w:pPr>
            <w:r w:rsidRPr="00C94FA8">
              <w:rPr>
                <w:kern w:val="0"/>
                <w:sz w:val="18"/>
                <w:szCs w:val="18"/>
              </w:rPr>
              <w:t xml:space="preserve">-3 </w:t>
            </w:r>
          </w:p>
        </w:tc>
        <w:tc>
          <w:tcPr>
            <w:tcW w:w="940" w:type="dxa"/>
            <w:tcBorders>
              <w:top w:val="nil"/>
              <w:left w:val="nil"/>
              <w:bottom w:val="dashed" w:sz="4" w:space="0" w:color="FF0000"/>
              <w:right w:val="single" w:sz="4" w:space="0" w:color="FF0000"/>
            </w:tcBorders>
            <w:shd w:val="clear" w:color="auto" w:fill="auto"/>
            <w:vAlign w:val="bottom"/>
            <w:hideMark/>
          </w:tcPr>
          <w:p w14:paraId="0FB29CF5"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1B0BD4E3"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69D1F4D7" w14:textId="77777777" w:rsidR="00C94FA8" w:rsidRPr="00C94FA8" w:rsidRDefault="00C94FA8" w:rsidP="00C94FA8">
            <w:pPr>
              <w:widowControl/>
              <w:jc w:val="center"/>
              <w:rPr>
                <w:rFonts w:ascii="宋体" w:hAnsi="宋体" w:cs="宋体" w:hint="eastAsia"/>
                <w:color w:val="000000"/>
                <w:kern w:val="0"/>
                <w:sz w:val="18"/>
                <w:szCs w:val="18"/>
              </w:rPr>
            </w:pPr>
            <w:proofErr w:type="gramStart"/>
            <w:r w:rsidRPr="00C94FA8">
              <w:rPr>
                <w:rFonts w:ascii="宋体" w:hAnsi="宋体" w:cs="宋体" w:hint="eastAsia"/>
                <w:color w:val="000000"/>
                <w:kern w:val="0"/>
                <w:sz w:val="18"/>
                <w:szCs w:val="18"/>
              </w:rPr>
              <w:t>塑</w:t>
            </w:r>
            <w:proofErr w:type="gramEnd"/>
            <w:r w:rsidRPr="00C94FA8">
              <w:rPr>
                <w:rFonts w:ascii="宋体" w:hAnsi="宋体" w:cs="宋体" w:hint="eastAsia"/>
                <w:color w:val="000000"/>
                <w:kern w:val="0"/>
                <w:sz w:val="18"/>
                <w:szCs w:val="18"/>
              </w:rPr>
              <w:t xml:space="preserve">  料</w:t>
            </w:r>
          </w:p>
        </w:tc>
        <w:tc>
          <w:tcPr>
            <w:tcW w:w="1000" w:type="dxa"/>
            <w:tcBorders>
              <w:top w:val="nil"/>
              <w:left w:val="nil"/>
              <w:bottom w:val="dashed" w:sz="4" w:space="0" w:color="FF0000"/>
              <w:right w:val="dashed" w:sz="4" w:space="0" w:color="FF0000"/>
            </w:tcBorders>
            <w:shd w:val="clear" w:color="auto" w:fill="auto"/>
            <w:vAlign w:val="bottom"/>
            <w:hideMark/>
          </w:tcPr>
          <w:p w14:paraId="36AAC95A" w14:textId="77777777" w:rsidR="00C94FA8" w:rsidRPr="00C94FA8" w:rsidRDefault="00C94FA8" w:rsidP="00C94FA8">
            <w:pPr>
              <w:widowControl/>
              <w:jc w:val="center"/>
              <w:rPr>
                <w:rFonts w:hint="eastAsia"/>
                <w:kern w:val="0"/>
                <w:sz w:val="18"/>
                <w:szCs w:val="18"/>
              </w:rPr>
            </w:pPr>
            <w:r w:rsidRPr="00C94FA8">
              <w:rPr>
                <w:kern w:val="0"/>
                <w:sz w:val="18"/>
                <w:szCs w:val="18"/>
              </w:rPr>
              <w:t>8800</w:t>
            </w:r>
          </w:p>
        </w:tc>
        <w:tc>
          <w:tcPr>
            <w:tcW w:w="940" w:type="dxa"/>
            <w:tcBorders>
              <w:top w:val="nil"/>
              <w:left w:val="nil"/>
              <w:bottom w:val="dashed" w:sz="4" w:space="0" w:color="FF0000"/>
              <w:right w:val="dashed" w:sz="4" w:space="0" w:color="FF0000"/>
            </w:tcBorders>
            <w:shd w:val="clear" w:color="auto" w:fill="auto"/>
            <w:vAlign w:val="bottom"/>
            <w:hideMark/>
          </w:tcPr>
          <w:p w14:paraId="50FB5517" w14:textId="77777777" w:rsidR="00C94FA8" w:rsidRPr="00C94FA8" w:rsidRDefault="00C94FA8" w:rsidP="00C94FA8">
            <w:pPr>
              <w:widowControl/>
              <w:jc w:val="center"/>
              <w:rPr>
                <w:kern w:val="0"/>
                <w:sz w:val="18"/>
                <w:szCs w:val="18"/>
              </w:rPr>
            </w:pPr>
            <w:r w:rsidRPr="00C94FA8">
              <w:rPr>
                <w:kern w:val="0"/>
                <w:sz w:val="18"/>
                <w:szCs w:val="18"/>
              </w:rPr>
              <w:t xml:space="preserve">8800 </w:t>
            </w:r>
          </w:p>
        </w:tc>
        <w:tc>
          <w:tcPr>
            <w:tcW w:w="1000" w:type="dxa"/>
            <w:tcBorders>
              <w:top w:val="nil"/>
              <w:left w:val="nil"/>
              <w:bottom w:val="dashed" w:sz="4" w:space="0" w:color="FF0000"/>
              <w:right w:val="dashed" w:sz="4" w:space="0" w:color="FF0000"/>
            </w:tcBorders>
            <w:shd w:val="clear" w:color="auto" w:fill="auto"/>
            <w:vAlign w:val="bottom"/>
            <w:hideMark/>
          </w:tcPr>
          <w:p w14:paraId="54FC3390"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6A52FDD7" w14:textId="77777777" w:rsidR="00C94FA8" w:rsidRPr="00C94FA8" w:rsidRDefault="00C94FA8" w:rsidP="00C94FA8">
            <w:pPr>
              <w:widowControl/>
              <w:jc w:val="center"/>
              <w:rPr>
                <w:kern w:val="0"/>
                <w:sz w:val="18"/>
                <w:szCs w:val="18"/>
              </w:rPr>
            </w:pPr>
            <w:r w:rsidRPr="00C94FA8">
              <w:rPr>
                <w:kern w:val="0"/>
                <w:sz w:val="18"/>
                <w:szCs w:val="18"/>
              </w:rPr>
              <w:t>8505</w:t>
            </w:r>
          </w:p>
        </w:tc>
        <w:tc>
          <w:tcPr>
            <w:tcW w:w="1040" w:type="dxa"/>
            <w:tcBorders>
              <w:top w:val="nil"/>
              <w:left w:val="nil"/>
              <w:bottom w:val="dashed" w:sz="4" w:space="0" w:color="FF0000"/>
              <w:right w:val="dashed" w:sz="4" w:space="0" w:color="FF0000"/>
            </w:tcBorders>
            <w:shd w:val="clear" w:color="auto" w:fill="auto"/>
            <w:noWrap/>
            <w:vAlign w:val="bottom"/>
            <w:hideMark/>
          </w:tcPr>
          <w:p w14:paraId="0CE11BD7" w14:textId="77777777" w:rsidR="00C94FA8" w:rsidRPr="00C94FA8" w:rsidRDefault="00C94FA8" w:rsidP="00C94FA8">
            <w:pPr>
              <w:widowControl/>
              <w:jc w:val="center"/>
              <w:rPr>
                <w:kern w:val="0"/>
                <w:sz w:val="18"/>
                <w:szCs w:val="18"/>
              </w:rPr>
            </w:pPr>
            <w:r w:rsidRPr="00C94FA8">
              <w:rPr>
                <w:kern w:val="0"/>
                <w:sz w:val="18"/>
                <w:szCs w:val="18"/>
              </w:rPr>
              <w:t xml:space="preserve">-295 </w:t>
            </w:r>
          </w:p>
        </w:tc>
        <w:tc>
          <w:tcPr>
            <w:tcW w:w="940" w:type="dxa"/>
            <w:tcBorders>
              <w:top w:val="nil"/>
              <w:left w:val="nil"/>
              <w:bottom w:val="dashed" w:sz="4" w:space="0" w:color="FF0000"/>
              <w:right w:val="single" w:sz="4" w:space="0" w:color="FF0000"/>
            </w:tcBorders>
            <w:shd w:val="clear" w:color="auto" w:fill="auto"/>
            <w:vAlign w:val="bottom"/>
            <w:hideMark/>
          </w:tcPr>
          <w:p w14:paraId="32F5CED0"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6D4E0816"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2FF2BB58"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PP</w:t>
            </w:r>
          </w:p>
        </w:tc>
        <w:tc>
          <w:tcPr>
            <w:tcW w:w="1000" w:type="dxa"/>
            <w:tcBorders>
              <w:top w:val="nil"/>
              <w:left w:val="nil"/>
              <w:bottom w:val="dashed" w:sz="4" w:space="0" w:color="FF0000"/>
              <w:right w:val="dashed" w:sz="4" w:space="0" w:color="FF0000"/>
            </w:tcBorders>
            <w:shd w:val="clear" w:color="auto" w:fill="auto"/>
            <w:vAlign w:val="bottom"/>
            <w:hideMark/>
          </w:tcPr>
          <w:p w14:paraId="0E09DF43" w14:textId="77777777" w:rsidR="00C94FA8" w:rsidRPr="00C94FA8" w:rsidRDefault="00C94FA8" w:rsidP="00C94FA8">
            <w:pPr>
              <w:widowControl/>
              <w:jc w:val="center"/>
              <w:rPr>
                <w:rFonts w:hint="eastAsia"/>
                <w:kern w:val="0"/>
                <w:sz w:val="18"/>
                <w:szCs w:val="18"/>
              </w:rPr>
            </w:pPr>
            <w:r w:rsidRPr="00C94FA8">
              <w:rPr>
                <w:kern w:val="0"/>
                <w:sz w:val="18"/>
                <w:szCs w:val="18"/>
              </w:rPr>
              <w:t>9430</w:t>
            </w:r>
          </w:p>
        </w:tc>
        <w:tc>
          <w:tcPr>
            <w:tcW w:w="940" w:type="dxa"/>
            <w:tcBorders>
              <w:top w:val="nil"/>
              <w:left w:val="nil"/>
              <w:bottom w:val="dashed" w:sz="4" w:space="0" w:color="FF0000"/>
              <w:right w:val="dashed" w:sz="4" w:space="0" w:color="FF0000"/>
            </w:tcBorders>
            <w:shd w:val="clear" w:color="auto" w:fill="auto"/>
            <w:vAlign w:val="bottom"/>
            <w:hideMark/>
          </w:tcPr>
          <w:p w14:paraId="2BC6BAF9" w14:textId="77777777" w:rsidR="00C94FA8" w:rsidRPr="00C94FA8" w:rsidRDefault="00C94FA8" w:rsidP="00C94FA8">
            <w:pPr>
              <w:widowControl/>
              <w:jc w:val="center"/>
              <w:rPr>
                <w:kern w:val="0"/>
                <w:sz w:val="18"/>
                <w:szCs w:val="18"/>
              </w:rPr>
            </w:pPr>
            <w:r w:rsidRPr="00C94FA8">
              <w:rPr>
                <w:kern w:val="0"/>
                <w:sz w:val="18"/>
                <w:szCs w:val="18"/>
              </w:rPr>
              <w:t xml:space="preserve">9430 </w:t>
            </w:r>
          </w:p>
        </w:tc>
        <w:tc>
          <w:tcPr>
            <w:tcW w:w="1000" w:type="dxa"/>
            <w:tcBorders>
              <w:top w:val="nil"/>
              <w:left w:val="nil"/>
              <w:bottom w:val="dashed" w:sz="4" w:space="0" w:color="FF0000"/>
              <w:right w:val="dashed" w:sz="4" w:space="0" w:color="FF0000"/>
            </w:tcBorders>
            <w:shd w:val="clear" w:color="auto" w:fill="auto"/>
            <w:vAlign w:val="bottom"/>
            <w:hideMark/>
          </w:tcPr>
          <w:p w14:paraId="01FFADB0"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48B6FA80" w14:textId="77777777" w:rsidR="00C94FA8" w:rsidRPr="00C94FA8" w:rsidRDefault="00C94FA8" w:rsidP="00C94FA8">
            <w:pPr>
              <w:widowControl/>
              <w:jc w:val="center"/>
              <w:rPr>
                <w:kern w:val="0"/>
                <w:sz w:val="18"/>
                <w:szCs w:val="18"/>
              </w:rPr>
            </w:pPr>
            <w:r w:rsidRPr="00C94FA8">
              <w:rPr>
                <w:kern w:val="0"/>
                <w:sz w:val="18"/>
                <w:szCs w:val="18"/>
              </w:rPr>
              <w:t>8608</w:t>
            </w:r>
          </w:p>
        </w:tc>
        <w:tc>
          <w:tcPr>
            <w:tcW w:w="1040" w:type="dxa"/>
            <w:tcBorders>
              <w:top w:val="nil"/>
              <w:left w:val="nil"/>
              <w:bottom w:val="dashed" w:sz="4" w:space="0" w:color="FF0000"/>
              <w:right w:val="dashed" w:sz="4" w:space="0" w:color="FF0000"/>
            </w:tcBorders>
            <w:shd w:val="clear" w:color="auto" w:fill="auto"/>
            <w:noWrap/>
            <w:vAlign w:val="bottom"/>
            <w:hideMark/>
          </w:tcPr>
          <w:p w14:paraId="2EB4D7DF" w14:textId="77777777" w:rsidR="00C94FA8" w:rsidRPr="00C94FA8" w:rsidRDefault="00C94FA8" w:rsidP="00C94FA8">
            <w:pPr>
              <w:widowControl/>
              <w:jc w:val="center"/>
              <w:rPr>
                <w:kern w:val="0"/>
                <w:sz w:val="18"/>
                <w:szCs w:val="18"/>
              </w:rPr>
            </w:pPr>
            <w:r w:rsidRPr="00C94FA8">
              <w:rPr>
                <w:kern w:val="0"/>
                <w:sz w:val="18"/>
                <w:szCs w:val="18"/>
              </w:rPr>
              <w:t xml:space="preserve">-822 </w:t>
            </w:r>
          </w:p>
        </w:tc>
        <w:tc>
          <w:tcPr>
            <w:tcW w:w="940" w:type="dxa"/>
            <w:tcBorders>
              <w:top w:val="nil"/>
              <w:left w:val="nil"/>
              <w:bottom w:val="dashed" w:sz="4" w:space="0" w:color="FF0000"/>
              <w:right w:val="single" w:sz="4" w:space="0" w:color="FF0000"/>
            </w:tcBorders>
            <w:shd w:val="clear" w:color="auto" w:fill="auto"/>
            <w:vAlign w:val="bottom"/>
            <w:hideMark/>
          </w:tcPr>
          <w:p w14:paraId="6ACA488C"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4121E78D"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65991D1D"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PTA</w:t>
            </w:r>
          </w:p>
        </w:tc>
        <w:tc>
          <w:tcPr>
            <w:tcW w:w="1000" w:type="dxa"/>
            <w:tcBorders>
              <w:top w:val="nil"/>
              <w:left w:val="nil"/>
              <w:bottom w:val="dashed" w:sz="4" w:space="0" w:color="FF0000"/>
              <w:right w:val="dashed" w:sz="4" w:space="0" w:color="FF0000"/>
            </w:tcBorders>
            <w:shd w:val="clear" w:color="auto" w:fill="auto"/>
            <w:vAlign w:val="bottom"/>
            <w:hideMark/>
          </w:tcPr>
          <w:p w14:paraId="3DFEDBBE" w14:textId="77777777" w:rsidR="00C94FA8" w:rsidRPr="00C94FA8" w:rsidRDefault="00C94FA8" w:rsidP="00C94FA8">
            <w:pPr>
              <w:widowControl/>
              <w:jc w:val="center"/>
              <w:rPr>
                <w:rFonts w:hint="eastAsia"/>
                <w:kern w:val="0"/>
                <w:sz w:val="18"/>
                <w:szCs w:val="18"/>
              </w:rPr>
            </w:pPr>
            <w:r w:rsidRPr="00C94FA8">
              <w:rPr>
                <w:kern w:val="0"/>
                <w:sz w:val="18"/>
                <w:szCs w:val="18"/>
              </w:rPr>
              <w:t>6455</w:t>
            </w:r>
          </w:p>
        </w:tc>
        <w:tc>
          <w:tcPr>
            <w:tcW w:w="940" w:type="dxa"/>
            <w:tcBorders>
              <w:top w:val="nil"/>
              <w:left w:val="nil"/>
              <w:bottom w:val="dashed" w:sz="4" w:space="0" w:color="FF0000"/>
              <w:right w:val="dashed" w:sz="4" w:space="0" w:color="FF0000"/>
            </w:tcBorders>
            <w:shd w:val="clear" w:color="auto" w:fill="auto"/>
            <w:vAlign w:val="bottom"/>
            <w:hideMark/>
          </w:tcPr>
          <w:p w14:paraId="7540EBAD" w14:textId="77777777" w:rsidR="00C94FA8" w:rsidRPr="00C94FA8" w:rsidRDefault="00C94FA8" w:rsidP="00C94FA8">
            <w:pPr>
              <w:widowControl/>
              <w:jc w:val="center"/>
              <w:rPr>
                <w:kern w:val="0"/>
                <w:sz w:val="18"/>
                <w:szCs w:val="18"/>
              </w:rPr>
            </w:pPr>
            <w:r w:rsidRPr="00C94FA8">
              <w:rPr>
                <w:kern w:val="0"/>
                <w:sz w:val="18"/>
                <w:szCs w:val="18"/>
              </w:rPr>
              <w:t xml:space="preserve">6380 </w:t>
            </w:r>
          </w:p>
        </w:tc>
        <w:tc>
          <w:tcPr>
            <w:tcW w:w="1000" w:type="dxa"/>
            <w:tcBorders>
              <w:top w:val="dashed" w:sz="4" w:space="0" w:color="FF0000"/>
              <w:left w:val="dashed" w:sz="4" w:space="0" w:color="FF0000"/>
              <w:bottom w:val="dashed" w:sz="4" w:space="0" w:color="FF0000"/>
              <w:right w:val="dashed" w:sz="4" w:space="0" w:color="FF0000"/>
            </w:tcBorders>
            <w:shd w:val="clear" w:color="000000" w:fill="008000"/>
            <w:vAlign w:val="bottom"/>
            <w:hideMark/>
          </w:tcPr>
          <w:p w14:paraId="569E3C04" w14:textId="77777777" w:rsidR="00C94FA8" w:rsidRPr="00C94FA8" w:rsidRDefault="00C94FA8" w:rsidP="00C94FA8">
            <w:pPr>
              <w:widowControl/>
              <w:jc w:val="right"/>
              <w:rPr>
                <w:kern w:val="0"/>
                <w:sz w:val="18"/>
                <w:szCs w:val="18"/>
              </w:rPr>
            </w:pPr>
            <w:r w:rsidRPr="00C94FA8">
              <w:rPr>
                <w:kern w:val="0"/>
                <w:sz w:val="18"/>
                <w:szCs w:val="18"/>
              </w:rPr>
              <w:t>-1.16%</w:t>
            </w:r>
          </w:p>
        </w:tc>
        <w:tc>
          <w:tcPr>
            <w:tcW w:w="820" w:type="dxa"/>
            <w:tcBorders>
              <w:top w:val="nil"/>
              <w:left w:val="nil"/>
              <w:bottom w:val="dashed" w:sz="4" w:space="0" w:color="FF0000"/>
              <w:right w:val="dashed" w:sz="4" w:space="0" w:color="FF0000"/>
            </w:tcBorders>
            <w:shd w:val="clear" w:color="auto" w:fill="auto"/>
            <w:noWrap/>
            <w:vAlign w:val="bottom"/>
            <w:hideMark/>
          </w:tcPr>
          <w:p w14:paraId="0F713C26" w14:textId="77777777" w:rsidR="00C94FA8" w:rsidRPr="00C94FA8" w:rsidRDefault="00C94FA8" w:rsidP="00C94FA8">
            <w:pPr>
              <w:widowControl/>
              <w:jc w:val="center"/>
              <w:rPr>
                <w:kern w:val="0"/>
                <w:sz w:val="18"/>
                <w:szCs w:val="18"/>
              </w:rPr>
            </w:pPr>
            <w:r w:rsidRPr="00C94FA8">
              <w:rPr>
                <w:kern w:val="0"/>
                <w:sz w:val="18"/>
                <w:szCs w:val="18"/>
              </w:rPr>
              <w:t>6460</w:t>
            </w:r>
          </w:p>
        </w:tc>
        <w:tc>
          <w:tcPr>
            <w:tcW w:w="1040" w:type="dxa"/>
            <w:tcBorders>
              <w:top w:val="nil"/>
              <w:left w:val="nil"/>
              <w:bottom w:val="dashed" w:sz="4" w:space="0" w:color="FF0000"/>
              <w:right w:val="dashed" w:sz="4" w:space="0" w:color="FF0000"/>
            </w:tcBorders>
            <w:shd w:val="clear" w:color="auto" w:fill="auto"/>
            <w:noWrap/>
            <w:vAlign w:val="bottom"/>
            <w:hideMark/>
          </w:tcPr>
          <w:p w14:paraId="061D375A" w14:textId="77777777" w:rsidR="00C94FA8" w:rsidRPr="00C94FA8" w:rsidRDefault="00C94FA8" w:rsidP="00C94FA8">
            <w:pPr>
              <w:widowControl/>
              <w:jc w:val="center"/>
              <w:rPr>
                <w:kern w:val="0"/>
                <w:sz w:val="18"/>
                <w:szCs w:val="18"/>
              </w:rPr>
            </w:pPr>
            <w:r w:rsidRPr="00C94FA8">
              <w:rPr>
                <w:kern w:val="0"/>
                <w:sz w:val="18"/>
                <w:szCs w:val="18"/>
              </w:rPr>
              <w:t xml:space="preserve">80 </w:t>
            </w:r>
          </w:p>
        </w:tc>
        <w:tc>
          <w:tcPr>
            <w:tcW w:w="940" w:type="dxa"/>
            <w:tcBorders>
              <w:top w:val="nil"/>
              <w:left w:val="nil"/>
              <w:bottom w:val="dashed" w:sz="4" w:space="0" w:color="FF0000"/>
              <w:right w:val="single" w:sz="4" w:space="0" w:color="FF0000"/>
            </w:tcBorders>
            <w:shd w:val="clear" w:color="auto" w:fill="auto"/>
            <w:vAlign w:val="bottom"/>
            <w:hideMark/>
          </w:tcPr>
          <w:p w14:paraId="29E13E5B"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r w:rsidR="00C94FA8" w:rsidRPr="00C94FA8" w14:paraId="2AE73144" w14:textId="77777777" w:rsidTr="00C94FA8">
        <w:trPr>
          <w:trHeight w:val="330"/>
          <w:jc w:val="center"/>
        </w:trPr>
        <w:tc>
          <w:tcPr>
            <w:tcW w:w="820" w:type="dxa"/>
            <w:tcBorders>
              <w:top w:val="nil"/>
              <w:left w:val="single" w:sz="4" w:space="0" w:color="FF0000"/>
              <w:bottom w:val="dashed" w:sz="4" w:space="0" w:color="FF0000"/>
              <w:right w:val="dashed" w:sz="4" w:space="0" w:color="FF0000"/>
            </w:tcBorders>
            <w:shd w:val="clear" w:color="auto" w:fill="auto"/>
            <w:vAlign w:val="center"/>
            <w:hideMark/>
          </w:tcPr>
          <w:p w14:paraId="4CBCD26E" w14:textId="77777777" w:rsidR="00C94FA8" w:rsidRPr="00C94FA8" w:rsidRDefault="00C94FA8" w:rsidP="00C94FA8">
            <w:pPr>
              <w:widowControl/>
              <w:jc w:val="center"/>
              <w:rPr>
                <w:rFonts w:ascii="宋体" w:hAnsi="宋体" w:cs="宋体" w:hint="eastAsia"/>
                <w:color w:val="000000"/>
                <w:kern w:val="0"/>
                <w:sz w:val="18"/>
                <w:szCs w:val="18"/>
              </w:rPr>
            </w:pPr>
            <w:proofErr w:type="gramStart"/>
            <w:r w:rsidRPr="00C94FA8">
              <w:rPr>
                <w:rFonts w:ascii="宋体" w:hAnsi="宋体" w:cs="宋体" w:hint="eastAsia"/>
                <w:color w:val="000000"/>
                <w:kern w:val="0"/>
                <w:sz w:val="18"/>
                <w:szCs w:val="18"/>
              </w:rPr>
              <w:t>沥</w:t>
            </w:r>
            <w:proofErr w:type="gramEnd"/>
            <w:r w:rsidRPr="00C94FA8">
              <w:rPr>
                <w:rFonts w:ascii="宋体" w:hAnsi="宋体" w:cs="宋体" w:hint="eastAsia"/>
                <w:color w:val="000000"/>
                <w:kern w:val="0"/>
                <w:sz w:val="18"/>
                <w:szCs w:val="18"/>
              </w:rPr>
              <w:t xml:space="preserve">  青</w:t>
            </w:r>
          </w:p>
        </w:tc>
        <w:tc>
          <w:tcPr>
            <w:tcW w:w="1000" w:type="dxa"/>
            <w:tcBorders>
              <w:top w:val="nil"/>
              <w:left w:val="nil"/>
              <w:bottom w:val="dashed" w:sz="4" w:space="0" w:color="FF0000"/>
              <w:right w:val="dashed" w:sz="4" w:space="0" w:color="FF0000"/>
            </w:tcBorders>
            <w:shd w:val="clear" w:color="auto" w:fill="auto"/>
            <w:vAlign w:val="bottom"/>
            <w:hideMark/>
          </w:tcPr>
          <w:p w14:paraId="02E1A75F" w14:textId="77777777" w:rsidR="00C94FA8" w:rsidRPr="00C94FA8" w:rsidRDefault="00C94FA8" w:rsidP="00C94FA8">
            <w:pPr>
              <w:widowControl/>
              <w:jc w:val="center"/>
              <w:rPr>
                <w:rFonts w:hint="eastAsia"/>
                <w:kern w:val="0"/>
                <w:sz w:val="18"/>
                <w:szCs w:val="18"/>
              </w:rPr>
            </w:pPr>
            <w:r w:rsidRPr="00C94FA8">
              <w:rPr>
                <w:kern w:val="0"/>
                <w:sz w:val="18"/>
                <w:szCs w:val="18"/>
              </w:rPr>
              <w:t>3200</w:t>
            </w:r>
          </w:p>
        </w:tc>
        <w:tc>
          <w:tcPr>
            <w:tcW w:w="940" w:type="dxa"/>
            <w:tcBorders>
              <w:top w:val="nil"/>
              <w:left w:val="nil"/>
              <w:bottom w:val="dashed" w:sz="4" w:space="0" w:color="FF0000"/>
              <w:right w:val="dashed" w:sz="4" w:space="0" w:color="FF0000"/>
            </w:tcBorders>
            <w:shd w:val="clear" w:color="auto" w:fill="auto"/>
            <w:vAlign w:val="bottom"/>
            <w:hideMark/>
          </w:tcPr>
          <w:p w14:paraId="25DEA016" w14:textId="77777777" w:rsidR="00C94FA8" w:rsidRPr="00C94FA8" w:rsidRDefault="00C94FA8" w:rsidP="00C94FA8">
            <w:pPr>
              <w:widowControl/>
              <w:jc w:val="center"/>
              <w:rPr>
                <w:kern w:val="0"/>
                <w:sz w:val="18"/>
                <w:szCs w:val="18"/>
              </w:rPr>
            </w:pPr>
            <w:r w:rsidRPr="00C94FA8">
              <w:rPr>
                <w:kern w:val="0"/>
                <w:sz w:val="18"/>
                <w:szCs w:val="18"/>
              </w:rPr>
              <w:t xml:space="preserve">3200 </w:t>
            </w:r>
          </w:p>
        </w:tc>
        <w:tc>
          <w:tcPr>
            <w:tcW w:w="1000" w:type="dxa"/>
            <w:tcBorders>
              <w:top w:val="nil"/>
              <w:left w:val="nil"/>
              <w:bottom w:val="dashed" w:sz="4" w:space="0" w:color="FF0000"/>
              <w:right w:val="dashed" w:sz="4" w:space="0" w:color="FF0000"/>
            </w:tcBorders>
            <w:shd w:val="clear" w:color="auto" w:fill="auto"/>
            <w:vAlign w:val="bottom"/>
            <w:hideMark/>
          </w:tcPr>
          <w:p w14:paraId="68B024CA" w14:textId="77777777" w:rsidR="00C94FA8" w:rsidRPr="00C94FA8" w:rsidRDefault="00C94FA8" w:rsidP="00C94FA8">
            <w:pPr>
              <w:widowControl/>
              <w:jc w:val="right"/>
              <w:rPr>
                <w:kern w:val="0"/>
                <w:sz w:val="18"/>
                <w:szCs w:val="18"/>
              </w:rPr>
            </w:pPr>
            <w:r w:rsidRPr="00C94FA8">
              <w:rPr>
                <w:kern w:val="0"/>
                <w:sz w:val="18"/>
                <w:szCs w:val="18"/>
              </w:rPr>
              <w:t>0.00%</w:t>
            </w:r>
          </w:p>
        </w:tc>
        <w:tc>
          <w:tcPr>
            <w:tcW w:w="820" w:type="dxa"/>
            <w:tcBorders>
              <w:top w:val="nil"/>
              <w:left w:val="nil"/>
              <w:bottom w:val="dashed" w:sz="4" w:space="0" w:color="FF0000"/>
              <w:right w:val="dashed" w:sz="4" w:space="0" w:color="FF0000"/>
            </w:tcBorders>
            <w:shd w:val="clear" w:color="auto" w:fill="auto"/>
            <w:noWrap/>
            <w:vAlign w:val="bottom"/>
            <w:hideMark/>
          </w:tcPr>
          <w:p w14:paraId="48803E16" w14:textId="77777777" w:rsidR="00C94FA8" w:rsidRPr="00C94FA8" w:rsidRDefault="00C94FA8" w:rsidP="00C94FA8">
            <w:pPr>
              <w:widowControl/>
              <w:jc w:val="center"/>
              <w:rPr>
                <w:kern w:val="0"/>
                <w:sz w:val="18"/>
                <w:szCs w:val="18"/>
              </w:rPr>
            </w:pPr>
            <w:r w:rsidRPr="00C94FA8">
              <w:rPr>
                <w:kern w:val="0"/>
                <w:sz w:val="18"/>
                <w:szCs w:val="18"/>
              </w:rPr>
              <w:t>3204</w:t>
            </w:r>
          </w:p>
        </w:tc>
        <w:tc>
          <w:tcPr>
            <w:tcW w:w="1040" w:type="dxa"/>
            <w:tcBorders>
              <w:top w:val="nil"/>
              <w:left w:val="nil"/>
              <w:bottom w:val="dashed" w:sz="4" w:space="0" w:color="FF0000"/>
              <w:right w:val="dashed" w:sz="4" w:space="0" w:color="FF0000"/>
            </w:tcBorders>
            <w:shd w:val="clear" w:color="auto" w:fill="auto"/>
            <w:noWrap/>
            <w:vAlign w:val="bottom"/>
            <w:hideMark/>
          </w:tcPr>
          <w:p w14:paraId="7ADAB0A0" w14:textId="77777777" w:rsidR="00C94FA8" w:rsidRPr="00C94FA8" w:rsidRDefault="00C94FA8" w:rsidP="00C94FA8">
            <w:pPr>
              <w:widowControl/>
              <w:jc w:val="center"/>
              <w:rPr>
                <w:kern w:val="0"/>
                <w:sz w:val="18"/>
                <w:szCs w:val="18"/>
              </w:rPr>
            </w:pPr>
            <w:r w:rsidRPr="00C94FA8">
              <w:rPr>
                <w:kern w:val="0"/>
                <w:sz w:val="18"/>
                <w:szCs w:val="18"/>
              </w:rPr>
              <w:t xml:space="preserve">4 </w:t>
            </w:r>
          </w:p>
        </w:tc>
        <w:tc>
          <w:tcPr>
            <w:tcW w:w="940" w:type="dxa"/>
            <w:tcBorders>
              <w:top w:val="nil"/>
              <w:left w:val="nil"/>
              <w:bottom w:val="dashed" w:sz="4" w:space="0" w:color="FF0000"/>
              <w:right w:val="single" w:sz="4" w:space="0" w:color="FF0000"/>
            </w:tcBorders>
            <w:shd w:val="clear" w:color="auto" w:fill="auto"/>
            <w:vAlign w:val="bottom"/>
            <w:hideMark/>
          </w:tcPr>
          <w:p w14:paraId="32B6D3C6"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1906</w:t>
            </w:r>
          </w:p>
        </w:tc>
      </w:tr>
      <w:tr w:rsidR="00C94FA8" w:rsidRPr="00C94FA8" w14:paraId="0B594679" w14:textId="77777777" w:rsidTr="00C94FA8">
        <w:trPr>
          <w:trHeight w:val="330"/>
          <w:jc w:val="center"/>
        </w:trPr>
        <w:tc>
          <w:tcPr>
            <w:tcW w:w="820" w:type="dxa"/>
            <w:tcBorders>
              <w:top w:val="nil"/>
              <w:left w:val="single" w:sz="4" w:space="0" w:color="FF0000"/>
              <w:bottom w:val="single" w:sz="4" w:space="0" w:color="FF0000"/>
              <w:right w:val="single" w:sz="4" w:space="0" w:color="FF0000"/>
            </w:tcBorders>
            <w:shd w:val="clear" w:color="auto" w:fill="auto"/>
            <w:vAlign w:val="center"/>
            <w:hideMark/>
          </w:tcPr>
          <w:p w14:paraId="0259CB7C" w14:textId="77777777" w:rsidR="00C94FA8" w:rsidRPr="00C94FA8" w:rsidRDefault="00C94FA8" w:rsidP="00C94FA8">
            <w:pPr>
              <w:widowControl/>
              <w:jc w:val="center"/>
              <w:rPr>
                <w:rFonts w:ascii="宋体" w:hAnsi="宋体" w:cs="宋体" w:hint="eastAsia"/>
                <w:color w:val="000000"/>
                <w:kern w:val="0"/>
                <w:sz w:val="18"/>
                <w:szCs w:val="18"/>
              </w:rPr>
            </w:pPr>
            <w:r w:rsidRPr="00C94FA8">
              <w:rPr>
                <w:rFonts w:ascii="宋体" w:hAnsi="宋体" w:cs="宋体" w:hint="eastAsia"/>
                <w:color w:val="000000"/>
                <w:kern w:val="0"/>
                <w:sz w:val="18"/>
                <w:szCs w:val="18"/>
              </w:rPr>
              <w:t>甲  醇</w:t>
            </w:r>
          </w:p>
        </w:tc>
        <w:tc>
          <w:tcPr>
            <w:tcW w:w="1000" w:type="dxa"/>
            <w:tcBorders>
              <w:top w:val="nil"/>
              <w:left w:val="nil"/>
              <w:bottom w:val="single" w:sz="4" w:space="0" w:color="FF0000"/>
              <w:right w:val="single" w:sz="4" w:space="0" w:color="FF0000"/>
            </w:tcBorders>
            <w:shd w:val="clear" w:color="auto" w:fill="auto"/>
            <w:vAlign w:val="bottom"/>
            <w:hideMark/>
          </w:tcPr>
          <w:p w14:paraId="49DFF5FD" w14:textId="77777777" w:rsidR="00C94FA8" w:rsidRPr="00C94FA8" w:rsidRDefault="00C94FA8" w:rsidP="00C94FA8">
            <w:pPr>
              <w:widowControl/>
              <w:jc w:val="center"/>
              <w:rPr>
                <w:rFonts w:hint="eastAsia"/>
                <w:kern w:val="0"/>
                <w:sz w:val="18"/>
                <w:szCs w:val="18"/>
              </w:rPr>
            </w:pPr>
            <w:r w:rsidRPr="00C94FA8">
              <w:rPr>
                <w:kern w:val="0"/>
                <w:sz w:val="18"/>
                <w:szCs w:val="18"/>
              </w:rPr>
              <w:t>2490</w:t>
            </w:r>
          </w:p>
        </w:tc>
        <w:tc>
          <w:tcPr>
            <w:tcW w:w="940" w:type="dxa"/>
            <w:tcBorders>
              <w:top w:val="nil"/>
              <w:left w:val="nil"/>
              <w:bottom w:val="single" w:sz="4" w:space="0" w:color="FF0000"/>
              <w:right w:val="single" w:sz="4" w:space="0" w:color="FF0000"/>
            </w:tcBorders>
            <w:shd w:val="clear" w:color="auto" w:fill="auto"/>
            <w:vAlign w:val="bottom"/>
            <w:hideMark/>
          </w:tcPr>
          <w:p w14:paraId="2FECCF9E" w14:textId="77777777" w:rsidR="00C94FA8" w:rsidRPr="00C94FA8" w:rsidRDefault="00C94FA8" w:rsidP="00C94FA8">
            <w:pPr>
              <w:widowControl/>
              <w:jc w:val="center"/>
              <w:rPr>
                <w:kern w:val="0"/>
                <w:sz w:val="18"/>
                <w:szCs w:val="18"/>
              </w:rPr>
            </w:pPr>
            <w:r w:rsidRPr="00C94FA8">
              <w:rPr>
                <w:kern w:val="0"/>
                <w:sz w:val="18"/>
                <w:szCs w:val="18"/>
              </w:rPr>
              <w:t xml:space="preserve">2450 </w:t>
            </w:r>
          </w:p>
        </w:tc>
        <w:tc>
          <w:tcPr>
            <w:tcW w:w="1000" w:type="dxa"/>
            <w:tcBorders>
              <w:top w:val="dashed" w:sz="4" w:space="0" w:color="FF0000"/>
              <w:left w:val="single" w:sz="4" w:space="0" w:color="FF0000"/>
              <w:bottom w:val="single" w:sz="4" w:space="0" w:color="FF0000"/>
              <w:right w:val="single" w:sz="4" w:space="0" w:color="FF0000"/>
            </w:tcBorders>
            <w:shd w:val="clear" w:color="000000" w:fill="008000"/>
            <w:vAlign w:val="bottom"/>
            <w:hideMark/>
          </w:tcPr>
          <w:p w14:paraId="2AE5AFAD" w14:textId="77777777" w:rsidR="00C94FA8" w:rsidRPr="00C94FA8" w:rsidRDefault="00C94FA8" w:rsidP="00C94FA8">
            <w:pPr>
              <w:widowControl/>
              <w:jc w:val="right"/>
              <w:rPr>
                <w:kern w:val="0"/>
                <w:sz w:val="18"/>
                <w:szCs w:val="18"/>
              </w:rPr>
            </w:pPr>
            <w:r w:rsidRPr="00C94FA8">
              <w:rPr>
                <w:kern w:val="0"/>
                <w:sz w:val="18"/>
                <w:szCs w:val="18"/>
              </w:rPr>
              <w:t>-1.61%</w:t>
            </w:r>
          </w:p>
        </w:tc>
        <w:tc>
          <w:tcPr>
            <w:tcW w:w="820" w:type="dxa"/>
            <w:tcBorders>
              <w:top w:val="nil"/>
              <w:left w:val="nil"/>
              <w:bottom w:val="single" w:sz="4" w:space="0" w:color="FF0000"/>
              <w:right w:val="single" w:sz="4" w:space="0" w:color="FF0000"/>
            </w:tcBorders>
            <w:shd w:val="clear" w:color="auto" w:fill="auto"/>
            <w:noWrap/>
            <w:vAlign w:val="bottom"/>
            <w:hideMark/>
          </w:tcPr>
          <w:p w14:paraId="48913A11" w14:textId="77777777" w:rsidR="00C94FA8" w:rsidRPr="00C94FA8" w:rsidRDefault="00C94FA8" w:rsidP="00C94FA8">
            <w:pPr>
              <w:widowControl/>
              <w:jc w:val="center"/>
              <w:rPr>
                <w:kern w:val="0"/>
                <w:sz w:val="18"/>
                <w:szCs w:val="18"/>
              </w:rPr>
            </w:pPr>
            <w:r w:rsidRPr="00C94FA8">
              <w:rPr>
                <w:kern w:val="0"/>
                <w:sz w:val="18"/>
                <w:szCs w:val="18"/>
              </w:rPr>
              <w:t>2493</w:t>
            </w:r>
          </w:p>
        </w:tc>
        <w:tc>
          <w:tcPr>
            <w:tcW w:w="1040" w:type="dxa"/>
            <w:tcBorders>
              <w:top w:val="nil"/>
              <w:left w:val="nil"/>
              <w:bottom w:val="single" w:sz="4" w:space="0" w:color="FF0000"/>
              <w:right w:val="single" w:sz="4" w:space="0" w:color="FF0000"/>
            </w:tcBorders>
            <w:shd w:val="clear" w:color="auto" w:fill="auto"/>
            <w:noWrap/>
            <w:vAlign w:val="bottom"/>
            <w:hideMark/>
          </w:tcPr>
          <w:p w14:paraId="066D7D30" w14:textId="77777777" w:rsidR="00C94FA8" w:rsidRPr="00C94FA8" w:rsidRDefault="00C94FA8" w:rsidP="00C94FA8">
            <w:pPr>
              <w:widowControl/>
              <w:jc w:val="center"/>
              <w:rPr>
                <w:kern w:val="0"/>
                <w:sz w:val="18"/>
                <w:szCs w:val="18"/>
              </w:rPr>
            </w:pPr>
            <w:r w:rsidRPr="00C94FA8">
              <w:rPr>
                <w:kern w:val="0"/>
                <w:sz w:val="18"/>
                <w:szCs w:val="18"/>
              </w:rPr>
              <w:t xml:space="preserve">43 </w:t>
            </w:r>
          </w:p>
        </w:tc>
        <w:tc>
          <w:tcPr>
            <w:tcW w:w="940" w:type="dxa"/>
            <w:tcBorders>
              <w:top w:val="nil"/>
              <w:left w:val="dashed" w:sz="4" w:space="0" w:color="FF0000"/>
              <w:bottom w:val="dashed" w:sz="4" w:space="0" w:color="FF0000"/>
              <w:right w:val="single" w:sz="4" w:space="0" w:color="FF0000"/>
            </w:tcBorders>
            <w:shd w:val="clear" w:color="auto" w:fill="auto"/>
            <w:vAlign w:val="bottom"/>
            <w:hideMark/>
          </w:tcPr>
          <w:p w14:paraId="31685A34" w14:textId="77777777" w:rsidR="00C94FA8" w:rsidRPr="00C94FA8" w:rsidRDefault="00C94FA8" w:rsidP="00C94FA8">
            <w:pPr>
              <w:widowControl/>
              <w:jc w:val="center"/>
              <w:rPr>
                <w:rFonts w:ascii="微软雅黑" w:eastAsia="微软雅黑" w:hAnsi="微软雅黑" w:cs="宋体"/>
                <w:kern w:val="0"/>
                <w:sz w:val="18"/>
                <w:szCs w:val="18"/>
              </w:rPr>
            </w:pPr>
            <w:r w:rsidRPr="00C94FA8">
              <w:rPr>
                <w:rFonts w:ascii="微软雅黑" w:eastAsia="微软雅黑" w:hAnsi="微软雅黑" w:cs="宋体" w:hint="eastAsia"/>
                <w:kern w:val="0"/>
                <w:sz w:val="18"/>
                <w:szCs w:val="18"/>
              </w:rPr>
              <w:t>1905</w:t>
            </w:r>
          </w:p>
        </w:tc>
      </w:tr>
    </w:tbl>
    <w:p w14:paraId="7AF151AA" w14:textId="77777777" w:rsidR="00E91428" w:rsidRDefault="00E510D6">
      <w:pPr>
        <w:widowControl/>
        <w:tabs>
          <w:tab w:val="left" w:pos="720"/>
        </w:tabs>
        <w:spacing w:line="300" w:lineRule="auto"/>
        <w:jc w:val="left"/>
        <w:rPr>
          <w:rFonts w:ascii="宋体" w:hAnsi="宋体"/>
          <w:kern w:val="0"/>
          <w:sz w:val="20"/>
        </w:rPr>
      </w:pPr>
      <w:bookmarkStart w:id="4" w:name="_GoBack"/>
      <w:bookmarkEnd w:id="4"/>
      <w:r>
        <w:rPr>
          <w:rFonts w:ascii="宋体" w:hAnsi="宋体" w:hint="eastAsia"/>
          <w:color w:val="000000"/>
        </w:rPr>
        <w:t>数据来源</w:t>
      </w:r>
      <w:r>
        <w:rPr>
          <w:rFonts w:ascii="宋体" w:hAnsi="宋体" w:hint="eastAsia"/>
          <w:color w:val="000000"/>
        </w:rPr>
        <w:t>:Wind</w:t>
      </w:r>
      <w:r>
        <w:rPr>
          <w:rFonts w:ascii="宋体" w:hAnsi="宋体" w:hint="eastAsia"/>
          <w:color w:val="000000"/>
        </w:rPr>
        <w:t>资讯</w:t>
      </w:r>
    </w:p>
    <w:p w14:paraId="16D6F26D" w14:textId="77777777" w:rsidR="00E91428" w:rsidRDefault="00E510D6">
      <w:pPr>
        <w:spacing w:line="340" w:lineRule="exact"/>
        <w:rPr>
          <w:rFonts w:ascii="黑体" w:eastAsia="黑体" w:hAnsi="宋体"/>
          <w:color w:val="000000"/>
          <w:sz w:val="24"/>
        </w:rPr>
      </w:pPr>
      <w:r>
        <w:rPr>
          <w:rFonts w:ascii="黑体" w:eastAsia="黑体" w:hAnsi="宋体" w:hint="eastAsia"/>
          <w:color w:val="000000"/>
          <w:sz w:val="24"/>
        </w:rPr>
        <w:t>免责声明：</w:t>
      </w:r>
    </w:p>
    <w:p w14:paraId="4F1F0940" w14:textId="77777777" w:rsidR="00E91428" w:rsidRDefault="00E510D6">
      <w:pPr>
        <w:spacing w:line="340" w:lineRule="exact"/>
        <w:ind w:firstLineChars="200" w:firstLine="420"/>
        <w:rPr>
          <w:rFonts w:ascii="宋体" w:hAnsi="宋体"/>
          <w:color w:val="000000"/>
        </w:rPr>
      </w:pPr>
      <w:r>
        <w:rPr>
          <w:rFonts w:ascii="宋体" w:hAnsi="宋体" w:hint="eastAsia"/>
          <w:color w:val="000000"/>
        </w:rPr>
        <w:t>本报告中的信息均来源于可信的公开资料或实地调研资料，但我公司对这些信息的准确性及完整性不作任何保证，也不保证本公司</w:t>
      </w:r>
      <w:proofErr w:type="gramStart"/>
      <w:r>
        <w:rPr>
          <w:rFonts w:ascii="宋体" w:hAnsi="宋体" w:hint="eastAsia"/>
          <w:color w:val="000000"/>
        </w:rPr>
        <w:t>作出</w:t>
      </w:r>
      <w:proofErr w:type="gramEnd"/>
      <w:r>
        <w:rPr>
          <w:rFonts w:ascii="宋体" w:hAnsi="宋体" w:hint="eastAsia"/>
          <w:color w:val="000000"/>
        </w:rPr>
        <w:t>的任何建议不会发生任何变更。在任何情况下，报告中的信息或所表达的意见并不构成所述期货买卖的出价或询价。在任何情况下，我公司不就本报告中的任何内容对任何投资</w:t>
      </w:r>
      <w:proofErr w:type="gramStart"/>
      <w:r>
        <w:rPr>
          <w:rFonts w:ascii="宋体" w:hAnsi="宋体" w:hint="eastAsia"/>
          <w:color w:val="000000"/>
        </w:rPr>
        <w:t>作出</w:t>
      </w:r>
      <w:proofErr w:type="gramEnd"/>
      <w:r>
        <w:rPr>
          <w:rFonts w:ascii="宋体" w:hAnsi="宋体" w:hint="eastAsia"/>
          <w:color w:val="000000"/>
        </w:rPr>
        <w:t>任何形式的担保。</w:t>
      </w:r>
    </w:p>
    <w:sectPr w:rsidR="00E91428">
      <w:headerReference w:type="even" r:id="rId9"/>
      <w:headerReference w:type="default" r:id="rId10"/>
      <w:footerReference w:type="even" r:id="rId11"/>
      <w:footerReference w:type="default" r:id="rId12"/>
      <w:pgSz w:w="11906" w:h="16838"/>
      <w:pgMar w:top="1701" w:right="1274" w:bottom="1701" w:left="9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B889" w14:textId="77777777" w:rsidR="00E510D6" w:rsidRDefault="00E510D6">
      <w:r>
        <w:separator/>
      </w:r>
    </w:p>
  </w:endnote>
  <w:endnote w:type="continuationSeparator" w:id="0">
    <w:p w14:paraId="6E23ED8D" w14:textId="77777777" w:rsidR="00E510D6" w:rsidRDefault="00E5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ˎ̥">
    <w:altName w:val="Arial Unicode MS"/>
    <w:charset w:val="00"/>
    <w:family w:val="auto"/>
    <w:pitch w:val="default"/>
    <w:sig w:usb0="00000000" w:usb1="00000000" w:usb2="00000000" w:usb3="00000000" w:csb0="FFFFFFFF"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7651" w14:textId="77777777" w:rsidR="00E91428" w:rsidRDefault="00E510D6">
    <w:pPr>
      <w:pStyle w:val="afb"/>
      <w:rPr>
        <w:b/>
        <w:i/>
        <w:sz w:val="21"/>
      </w:rPr>
    </w:pPr>
    <w:r>
      <w:rPr>
        <w:rFonts w:hint="eastAsia"/>
        <w:b/>
        <w:i/>
        <w:sz w:val="21"/>
      </w:rPr>
      <w:t>内部交流资料，仅供参考</w:t>
    </w:r>
    <w:r>
      <w:rPr>
        <w:rFonts w:hint="eastAsia"/>
        <w:b/>
        <w:i/>
        <w:sz w:val="21"/>
      </w:rPr>
      <w:t xml:space="preserve">                                                       </w:t>
    </w:r>
    <w:r>
      <w:fldChar w:fldCharType="begin"/>
    </w:r>
    <w:r>
      <w:rPr>
        <w:rStyle w:val="aff9"/>
      </w:rPr>
      <w:instrText xml:space="preserve"> PAGE </w:instrText>
    </w:r>
    <w:r>
      <w:fldChar w:fldCharType="separate"/>
    </w:r>
    <w:r>
      <w:rPr>
        <w:rStyle w:val="aff9"/>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417D" w14:textId="77777777" w:rsidR="00E91428" w:rsidRDefault="00E510D6">
    <w:pPr>
      <w:pStyle w:val="afb"/>
      <w:framePr w:wrap="around" w:vAnchor="text" w:hAnchor="page" w:x="10621" w:y="-182"/>
      <w:rPr>
        <w:rStyle w:val="aff9"/>
        <w:rFonts w:ascii="仿宋_GB2312" w:eastAsia="仿宋_GB2312" w:hAnsi="仿宋_GB2312"/>
        <w:color w:val="CC0000"/>
        <w:sz w:val="22"/>
      </w:rPr>
    </w:pPr>
    <w:r>
      <w:rPr>
        <w:rFonts w:ascii="仿宋_GB2312" w:eastAsia="仿宋_GB2312" w:hAnsi="仿宋_GB2312" w:hint="eastAsia"/>
        <w:b/>
        <w:color w:val="CC0000"/>
        <w:sz w:val="30"/>
      </w:rPr>
      <w:fldChar w:fldCharType="begin"/>
    </w:r>
    <w:r>
      <w:rPr>
        <w:rStyle w:val="aff9"/>
        <w:rFonts w:ascii="仿宋_GB2312" w:eastAsia="仿宋_GB2312" w:hAnsi="仿宋_GB2312" w:hint="eastAsia"/>
        <w:b/>
        <w:color w:val="CC0000"/>
        <w:sz w:val="30"/>
      </w:rPr>
      <w:instrText xml:space="preserve">PAGE  </w:instrText>
    </w:r>
    <w:r>
      <w:rPr>
        <w:rFonts w:ascii="仿宋_GB2312" w:eastAsia="仿宋_GB2312" w:hAnsi="仿宋_GB2312" w:hint="eastAsia"/>
        <w:b/>
        <w:color w:val="CC0000"/>
        <w:sz w:val="30"/>
      </w:rPr>
      <w:fldChar w:fldCharType="separate"/>
    </w:r>
    <w:r>
      <w:rPr>
        <w:rStyle w:val="aff9"/>
        <w:rFonts w:ascii="仿宋_GB2312" w:eastAsia="仿宋_GB2312" w:hAnsi="仿宋_GB2312"/>
        <w:b/>
        <w:color w:val="CC0000"/>
        <w:sz w:val="30"/>
      </w:rPr>
      <w:t>5</w:t>
    </w:r>
    <w:r>
      <w:rPr>
        <w:rFonts w:ascii="仿宋_GB2312" w:eastAsia="仿宋_GB2312" w:hAnsi="仿宋_GB2312" w:hint="eastAsia"/>
        <w:b/>
        <w:color w:val="CC0000"/>
        <w:sz w:val="30"/>
      </w:rPr>
      <w:fldChar w:fldCharType="end"/>
    </w:r>
  </w:p>
  <w:p w14:paraId="404109F0" w14:textId="77777777" w:rsidR="00E91428" w:rsidRDefault="00E510D6">
    <w:pPr>
      <w:pStyle w:val="afb"/>
      <w:rPr>
        <w:sz w:val="21"/>
      </w:rPr>
    </w:pPr>
    <w:r>
      <w:pict w14:anchorId="47A58078">
        <v:rect id="Rectangle 8" o:spid="_x0000_s2051" style="position:absolute;margin-left:477.85pt;margin-top:755.85pt;width:27pt;height:23.4pt;z-index:251663360;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" filled="f" strokecolor="#c00" strokeweight="2pt">
          <v:path arrowok="t"/>
          <w10:wrap anchory="page"/>
        </v:rect>
      </w:pict>
    </w:r>
    <w:r>
      <w:rPr>
        <w:sz w:val="20"/>
        <w:u w:val="thick"/>
      </w:rPr>
      <w:pict w14:anchorId="333E5CED">
        <v:rect id="Rectangle 7" o:spid="_x0000_s2050" style="position:absolute;margin-left:162.7pt;margin-top:755.85pt;width:314.6pt;height:23.4pt;z-index:251662336;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" fillcolor="#c00" strokecolor="#c00" strokeweight="2pt">
          <v:path arrowok="t"/>
          <v:textbox>
            <w:txbxContent>
              <w:p w14:paraId="21ADB410" w14:textId="77777777" w:rsidR="00E91428" w:rsidRDefault="00E510D6">
                <w:pPr>
                  <w:ind w:firstLineChars="150" w:firstLine="361"/>
                  <w:jc w:val="center"/>
                  <w:rPr>
                    <w:rFonts w:ascii="宋体" w:hAnsi="宋体"/>
                    <w:b/>
                    <w:color w:val="FFFFFF"/>
                    <w:sz w:val="24"/>
                  </w:rPr>
                </w:pPr>
                <w:r>
                  <w:rPr>
                    <w:rFonts w:ascii="宋体" w:hAnsi="宋体" w:hint="eastAsia"/>
                    <w:b/>
                    <w:color w:val="FFFFFF"/>
                    <w:sz w:val="24"/>
                  </w:rPr>
                  <w:t>期市有风险</w:t>
                </w:r>
                <w:r>
                  <w:rPr>
                    <w:rFonts w:ascii="宋体" w:hAnsi="宋体" w:hint="eastAsia"/>
                    <w:b/>
                    <w:color w:val="FFFFFF"/>
                    <w:sz w:val="24"/>
                  </w:rPr>
                  <w:t xml:space="preserve"> </w:t>
                </w:r>
                <w:r>
                  <w:rPr>
                    <w:rFonts w:ascii="宋体" w:hAnsi="宋体" w:hint="eastAsia"/>
                    <w:b/>
                    <w:color w:val="FFFFFF"/>
                    <w:sz w:val="24"/>
                  </w:rPr>
                  <w:t>投资须谨慎</w:t>
                </w:r>
              </w:p>
            </w:txbxContent>
          </v:textbox>
          <w10:wrap anchory="page"/>
        </v:rect>
      </w:pict>
    </w:r>
  </w:p>
  <w:p w14:paraId="1A271880" w14:textId="77777777" w:rsidR="00E91428" w:rsidRDefault="00E510D6">
    <w:pPr>
      <w:pStyle w:val="afb"/>
    </w:pPr>
    <w:r>
      <w:pict w14:anchorId="7A7FC80F">
        <v:shapetype id="_x0000_t202" coordsize="21600,21600" o:spt="202" path="m,l,21600r21600,l21600,xe">
          <v:stroke joinstyle="miter"/>
          <v:path gradientshapeok="t" o:connecttype="rect"/>
        </v:shapetype>
        <v:shape id="Text Box 6" o:spid="_x0000_s2049" type="#_x0000_t202" style="position:absolute;margin-left:-19.2pt;margin-top:755.85pt;width:180pt;height:23.4pt;z-index:251664384;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" filled="f" strokecolor="#c00" strokeweight="2pt">
          <v:path arrowok="t"/>
          <v:textbox>
            <w:txbxContent>
              <w:p w14:paraId="2C89E3C6" w14:textId="77777777" w:rsidR="00E91428" w:rsidRDefault="00E510D6">
                <w:pPr>
                  <w:jc w:val="center"/>
                  <w:rPr>
                    <w:rFonts w:ascii="宋体" w:hAnsi="宋体"/>
                    <w:b/>
                    <w:color w:val="CC0000"/>
                  </w:rPr>
                </w:pPr>
                <w:r>
                  <w:rPr>
                    <w:rFonts w:ascii="宋体" w:hAnsi="宋体" w:hint="eastAsia"/>
                    <w:b/>
                    <w:color w:val="CC0000"/>
                  </w:rPr>
                  <w:t>敬请参阅文后的免责声明</w:t>
                </w:r>
              </w:p>
            </w:txbxContent>
          </v:textbox>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5B30" w14:textId="77777777" w:rsidR="00E510D6" w:rsidRDefault="00E510D6">
      <w:r>
        <w:separator/>
      </w:r>
    </w:p>
  </w:footnote>
  <w:footnote w:type="continuationSeparator" w:id="0">
    <w:p w14:paraId="12918F4D" w14:textId="77777777" w:rsidR="00E510D6" w:rsidRDefault="00E5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5DD0" w14:textId="77777777" w:rsidR="00E91428" w:rsidRDefault="00E510D6">
    <w:pPr>
      <w:pStyle w:val="afd"/>
    </w:pPr>
    <w:r>
      <w:rPr>
        <w:rFonts w:hint="eastAsia"/>
        <w:i/>
        <w:sz w:val="21"/>
      </w:rPr>
      <w:t>新世纪期货市场研发部</w:t>
    </w:r>
    <w:r>
      <w:rPr>
        <w:rFonts w:hint="eastAsia"/>
        <w:i/>
        <w:sz w:val="21"/>
      </w:rPr>
      <w:t xml:space="preserve">       </w:t>
    </w:r>
    <w:r>
      <w:rPr>
        <w:rFonts w:hint="eastAsia"/>
      </w:rPr>
      <w:t xml:space="preserve">                                    </w:t>
    </w:r>
    <w:r>
      <w:rPr>
        <w:rFonts w:ascii="Times New Roman" w:hAnsi="Times New Roman"/>
        <w:i/>
        <w:sz w:val="21"/>
      </w:rPr>
      <w:t>http</w:t>
    </w:r>
    <w:r>
      <w:rPr>
        <w:rFonts w:ascii="Times New Roman"/>
        <w:i/>
        <w:sz w:val="21"/>
      </w:rPr>
      <w:t>：</w:t>
    </w:r>
    <w:r>
      <w:rPr>
        <w:rFonts w:ascii="Times New Roman" w:hAnsi="Times New Roman"/>
        <w:i/>
        <w:sz w:val="21"/>
      </w:rPr>
      <w:t>// www.zjncf.com.cn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7DD2" w14:textId="77777777" w:rsidR="00E91428" w:rsidRDefault="00E510D6">
    <w:pPr>
      <w:rPr>
        <w:rFonts w:ascii="宋体" w:hAnsi="宋体"/>
        <w:kern w:val="0"/>
        <w:sz w:val="24"/>
      </w:rPr>
    </w:pPr>
    <w:r>
      <w:rPr>
        <w:noProof/>
      </w:rPr>
      <w:drawing>
        <wp:anchor distT="0" distB="0" distL="114300" distR="114300" simplePos="0" relativeHeight="251665408" behindDoc="0" locked="0" layoutInCell="1" allowOverlap="1" wp14:anchorId="4AC1786E" wp14:editId="7B35DE97">
          <wp:simplePos x="0" y="0"/>
          <wp:positionH relativeFrom="column">
            <wp:posOffset>-318135</wp:posOffset>
          </wp:positionH>
          <wp:positionV relativeFrom="paragraph">
            <wp:posOffset>12065</wp:posOffset>
          </wp:positionV>
          <wp:extent cx="2548890" cy="467995"/>
          <wp:effectExtent l="19050" t="0" r="3751" b="0"/>
          <wp:wrapNone/>
          <wp:docPr id="11" name="图片 9" descr="C:\Documents and Settings\Administrator\Application Data\Tencent\Users\546561691\QQ\WinTemp\RichOle\0)8_BB~N77${E0Z8}Y~7U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C:\Documents and Settings\Administrator\Application Data\Tencent\Users\546561691\QQ\WinTemp\RichOle\0)8_BB~N77${E0Z8}Y~7UIU.png"/>
                  <pic:cNvPicPr>
                    <a:picLocks noChangeAspect="1"/>
                  </pic:cNvPicPr>
                </pic:nvPicPr>
                <pic:blipFill>
                  <a:blip r:embed="rId1" r:link="rId2"/>
                  <a:stretch>
                    <a:fillRect/>
                  </a:stretch>
                </pic:blipFill>
                <pic:spPr>
                  <a:xfrm>
                    <a:off x="0" y="0"/>
                    <a:ext cx="2548949" cy="467833"/>
                  </a:xfrm>
                  <a:prstGeom prst="rect">
                    <a:avLst/>
                  </a:prstGeom>
                  <a:noFill/>
                  <a:ln w="9525">
                    <a:noFill/>
                  </a:ln>
                </pic:spPr>
              </pic:pic>
            </a:graphicData>
          </a:graphic>
        </wp:anchor>
      </w:drawing>
    </w:r>
    <w:r>
      <w:pict w14:anchorId="5CA93466">
        <v:roundrect id="AutoShape 5" o:spid="_x0000_s2055" style="position:absolute;left:0;text-align:left;margin-left:336.5pt;margin-top:3.5pt;width:158.25pt;height:31.2pt;z-index:251658240;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" filled="f" stroked="f">
          <v:path arrowok="t"/>
          <v:textbox>
            <w:txbxContent>
              <w:p w14:paraId="0B791D4E" w14:textId="77777777" w:rsidR="00E91428" w:rsidRDefault="00E510D6">
                <w:pPr>
                  <w:ind w:firstLineChars="539" w:firstLine="1299"/>
                  <w:rPr>
                    <w:rFonts w:ascii="黑体" w:eastAsia="黑体"/>
                    <w:b/>
                    <w:color w:val="000000"/>
                    <w:sz w:val="24"/>
                  </w:rPr>
                </w:pPr>
                <w:r>
                  <w:rPr>
                    <w:rFonts w:ascii="黑体" w:eastAsia="黑体" w:hint="eastAsia"/>
                    <w:b/>
                    <w:color w:val="000000"/>
                    <w:sz w:val="24"/>
                  </w:rPr>
                  <w:t>盘前交易提示</w:t>
                </w:r>
              </w:p>
            </w:txbxContent>
          </v:textbox>
        </v:roundrect>
      </w:pict>
    </w:r>
    <w:r>
      <w:pict w14:anchorId="624C1C79">
        <v:line id="Line 3" o:spid="_x0000_s2054" style="position:absolute;left:0;text-align:left;z-index:251659264;mso-position-horizontal-relative:text;mso-position-vertical-relative:text;mso-width-relative:page;mso-height-relative:page" from="351pt,34.7pt" to="4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" strokecolor="#c00" strokeweight="1.5pt"/>
      </w:pict>
    </w:r>
    <w:r>
      <w:pict w14:anchorId="1CED2B9F">
        <v:line id="Line 4" o:spid="_x0000_s2053" style="position:absolute;left:0;text-align:left;z-index:251660288;mso-position-horizontal-relative:text;mso-position-vertical-relative:text;mso-width-relative:page;mso-height-relative:page" from="342pt,26.9pt" to="48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" strokecolor="#c00" strokeweight="1.25pt"/>
      </w:pict>
    </w:r>
    <w:r>
      <w:t xml:space="preserve"> </w:t>
    </w:r>
  </w:p>
  <w:p w14:paraId="3D5A9930" w14:textId="77777777" w:rsidR="00E91428" w:rsidRDefault="00E510D6">
    <w:pPr>
      <w:pStyle w:val="afd"/>
      <w:pBdr>
        <w:bottom w:val="none" w:sz="0" w:space="0" w:color="auto"/>
      </w:pBdr>
      <w:jc w:val="both"/>
    </w:pPr>
    <w:r>
      <w:pict w14:anchorId="51AF282F">
        <v:line id="Line 1" o:spid="_x0000_s2052" style="position:absolute;left:0;text-align:left;z-index:251661312;mso-position-vertical-relative:page;mso-width-relative:page;mso-height-relative:page" from="-17.65pt,85.05pt" to="503.9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" strokecolor="#c00" strokeweight="2pt">
          <w10:wrap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578"/>
    <w:rsid w:val="00001F4A"/>
    <w:rsid w:val="00002F49"/>
    <w:rsid w:val="000032AB"/>
    <w:rsid w:val="00010961"/>
    <w:rsid w:val="000152EA"/>
    <w:rsid w:val="000157B5"/>
    <w:rsid w:val="00016995"/>
    <w:rsid w:val="00016BE2"/>
    <w:rsid w:val="00016C70"/>
    <w:rsid w:val="00016F0C"/>
    <w:rsid w:val="00017EC7"/>
    <w:rsid w:val="00021E93"/>
    <w:rsid w:val="0002352F"/>
    <w:rsid w:val="00023886"/>
    <w:rsid w:val="000262CA"/>
    <w:rsid w:val="00026E4C"/>
    <w:rsid w:val="000310AA"/>
    <w:rsid w:val="00031C98"/>
    <w:rsid w:val="0003281A"/>
    <w:rsid w:val="00033F3A"/>
    <w:rsid w:val="00034581"/>
    <w:rsid w:val="00036AC4"/>
    <w:rsid w:val="00036FD3"/>
    <w:rsid w:val="000400BC"/>
    <w:rsid w:val="000406F0"/>
    <w:rsid w:val="00040859"/>
    <w:rsid w:val="00042D12"/>
    <w:rsid w:val="00042F93"/>
    <w:rsid w:val="000442FD"/>
    <w:rsid w:val="00044BC0"/>
    <w:rsid w:val="00050601"/>
    <w:rsid w:val="000541F2"/>
    <w:rsid w:val="000554FC"/>
    <w:rsid w:val="0005583B"/>
    <w:rsid w:val="00062191"/>
    <w:rsid w:val="00062941"/>
    <w:rsid w:val="00063135"/>
    <w:rsid w:val="00065F66"/>
    <w:rsid w:val="00067F09"/>
    <w:rsid w:val="00072621"/>
    <w:rsid w:val="0007298A"/>
    <w:rsid w:val="0007459E"/>
    <w:rsid w:val="00074CDA"/>
    <w:rsid w:val="00081368"/>
    <w:rsid w:val="00082E1B"/>
    <w:rsid w:val="000858FA"/>
    <w:rsid w:val="00085936"/>
    <w:rsid w:val="00086087"/>
    <w:rsid w:val="00087AEE"/>
    <w:rsid w:val="00093D04"/>
    <w:rsid w:val="000944C3"/>
    <w:rsid w:val="00095E92"/>
    <w:rsid w:val="00096881"/>
    <w:rsid w:val="000970DA"/>
    <w:rsid w:val="00097D48"/>
    <w:rsid w:val="000A1241"/>
    <w:rsid w:val="000A73DA"/>
    <w:rsid w:val="000A7743"/>
    <w:rsid w:val="000B527C"/>
    <w:rsid w:val="000B65A1"/>
    <w:rsid w:val="000C0DAC"/>
    <w:rsid w:val="000C188D"/>
    <w:rsid w:val="000C34D3"/>
    <w:rsid w:val="000C584A"/>
    <w:rsid w:val="000C7A0D"/>
    <w:rsid w:val="000D063F"/>
    <w:rsid w:val="000D0BD1"/>
    <w:rsid w:val="000D11E3"/>
    <w:rsid w:val="000E0951"/>
    <w:rsid w:val="000E273D"/>
    <w:rsid w:val="000E3129"/>
    <w:rsid w:val="000E3C4A"/>
    <w:rsid w:val="000E4ED2"/>
    <w:rsid w:val="000F001D"/>
    <w:rsid w:val="000F3B3C"/>
    <w:rsid w:val="000F4B79"/>
    <w:rsid w:val="00100969"/>
    <w:rsid w:val="00103CB5"/>
    <w:rsid w:val="00105581"/>
    <w:rsid w:val="00105CBD"/>
    <w:rsid w:val="00106E25"/>
    <w:rsid w:val="00107FFC"/>
    <w:rsid w:val="00112CAD"/>
    <w:rsid w:val="00113CFE"/>
    <w:rsid w:val="00113DD7"/>
    <w:rsid w:val="00116A2B"/>
    <w:rsid w:val="00116B1F"/>
    <w:rsid w:val="00121A73"/>
    <w:rsid w:val="00122625"/>
    <w:rsid w:val="00124D52"/>
    <w:rsid w:val="0012604C"/>
    <w:rsid w:val="00126A7B"/>
    <w:rsid w:val="001334B0"/>
    <w:rsid w:val="001379D9"/>
    <w:rsid w:val="001437FB"/>
    <w:rsid w:val="00143AA4"/>
    <w:rsid w:val="00150AC9"/>
    <w:rsid w:val="00151B7C"/>
    <w:rsid w:val="00153190"/>
    <w:rsid w:val="001545E6"/>
    <w:rsid w:val="001548A4"/>
    <w:rsid w:val="00157BF3"/>
    <w:rsid w:val="0016188E"/>
    <w:rsid w:val="00161CBE"/>
    <w:rsid w:val="001644DF"/>
    <w:rsid w:val="00164951"/>
    <w:rsid w:val="00165C77"/>
    <w:rsid w:val="00171054"/>
    <w:rsid w:val="001715CC"/>
    <w:rsid w:val="00172245"/>
    <w:rsid w:val="00172A27"/>
    <w:rsid w:val="001732F3"/>
    <w:rsid w:val="00173952"/>
    <w:rsid w:val="0018054E"/>
    <w:rsid w:val="00180D66"/>
    <w:rsid w:val="00181B67"/>
    <w:rsid w:val="00181C45"/>
    <w:rsid w:val="001822F7"/>
    <w:rsid w:val="001835EC"/>
    <w:rsid w:val="0018365A"/>
    <w:rsid w:val="00183E89"/>
    <w:rsid w:val="00187EB2"/>
    <w:rsid w:val="00190EFE"/>
    <w:rsid w:val="00191800"/>
    <w:rsid w:val="00191C04"/>
    <w:rsid w:val="001921C3"/>
    <w:rsid w:val="00192D58"/>
    <w:rsid w:val="001943B5"/>
    <w:rsid w:val="00195DD3"/>
    <w:rsid w:val="00196ACE"/>
    <w:rsid w:val="00197B14"/>
    <w:rsid w:val="001A3D40"/>
    <w:rsid w:val="001A6121"/>
    <w:rsid w:val="001A703F"/>
    <w:rsid w:val="001B42AB"/>
    <w:rsid w:val="001B4605"/>
    <w:rsid w:val="001B488A"/>
    <w:rsid w:val="001B4D86"/>
    <w:rsid w:val="001C38C2"/>
    <w:rsid w:val="001C3D1B"/>
    <w:rsid w:val="001D04F3"/>
    <w:rsid w:val="001D2B47"/>
    <w:rsid w:val="001D7D83"/>
    <w:rsid w:val="001E08B2"/>
    <w:rsid w:val="001E09A7"/>
    <w:rsid w:val="001E2A39"/>
    <w:rsid w:val="001E6B37"/>
    <w:rsid w:val="001F41B2"/>
    <w:rsid w:val="001F57E5"/>
    <w:rsid w:val="001F5844"/>
    <w:rsid w:val="001F5B46"/>
    <w:rsid w:val="001F5D78"/>
    <w:rsid w:val="001F666D"/>
    <w:rsid w:val="001F683D"/>
    <w:rsid w:val="001F6DFD"/>
    <w:rsid w:val="001F7638"/>
    <w:rsid w:val="0020041D"/>
    <w:rsid w:val="002016D3"/>
    <w:rsid w:val="00201821"/>
    <w:rsid w:val="00202AC3"/>
    <w:rsid w:val="00202C9C"/>
    <w:rsid w:val="00202E97"/>
    <w:rsid w:val="00203837"/>
    <w:rsid w:val="00204D97"/>
    <w:rsid w:val="0020792B"/>
    <w:rsid w:val="00207E4E"/>
    <w:rsid w:val="0021130C"/>
    <w:rsid w:val="00211818"/>
    <w:rsid w:val="00211833"/>
    <w:rsid w:val="002119FA"/>
    <w:rsid w:val="00214121"/>
    <w:rsid w:val="00215705"/>
    <w:rsid w:val="00215874"/>
    <w:rsid w:val="002168F5"/>
    <w:rsid w:val="00216E1E"/>
    <w:rsid w:val="00216EB0"/>
    <w:rsid w:val="00221D46"/>
    <w:rsid w:val="00227994"/>
    <w:rsid w:val="002306CE"/>
    <w:rsid w:val="00230DD9"/>
    <w:rsid w:val="00233C14"/>
    <w:rsid w:val="00236FFF"/>
    <w:rsid w:val="0023755D"/>
    <w:rsid w:val="002409D3"/>
    <w:rsid w:val="00241787"/>
    <w:rsid w:val="00242675"/>
    <w:rsid w:val="00243CA3"/>
    <w:rsid w:val="002447C3"/>
    <w:rsid w:val="00246651"/>
    <w:rsid w:val="00246F70"/>
    <w:rsid w:val="00247C38"/>
    <w:rsid w:val="00250C1A"/>
    <w:rsid w:val="00252D57"/>
    <w:rsid w:val="00253F7F"/>
    <w:rsid w:val="002562E3"/>
    <w:rsid w:val="00257329"/>
    <w:rsid w:val="00257332"/>
    <w:rsid w:val="0026006C"/>
    <w:rsid w:val="002649A0"/>
    <w:rsid w:val="00264FE8"/>
    <w:rsid w:val="00267809"/>
    <w:rsid w:val="00271BDD"/>
    <w:rsid w:val="0027227A"/>
    <w:rsid w:val="00273166"/>
    <w:rsid w:val="00273AB7"/>
    <w:rsid w:val="002743AD"/>
    <w:rsid w:val="00282BFA"/>
    <w:rsid w:val="00283E37"/>
    <w:rsid w:val="0028430E"/>
    <w:rsid w:val="00285A11"/>
    <w:rsid w:val="00285D26"/>
    <w:rsid w:val="00285D43"/>
    <w:rsid w:val="00285D52"/>
    <w:rsid w:val="002865E4"/>
    <w:rsid w:val="00286C89"/>
    <w:rsid w:val="00290507"/>
    <w:rsid w:val="002916BD"/>
    <w:rsid w:val="00291E1A"/>
    <w:rsid w:val="00296F89"/>
    <w:rsid w:val="00297DEC"/>
    <w:rsid w:val="002A6D49"/>
    <w:rsid w:val="002A6E56"/>
    <w:rsid w:val="002A7335"/>
    <w:rsid w:val="002A75F5"/>
    <w:rsid w:val="002B0BD8"/>
    <w:rsid w:val="002B6396"/>
    <w:rsid w:val="002B798B"/>
    <w:rsid w:val="002B7CA7"/>
    <w:rsid w:val="002C1B1E"/>
    <w:rsid w:val="002C3AA5"/>
    <w:rsid w:val="002C4D18"/>
    <w:rsid w:val="002D01E7"/>
    <w:rsid w:val="002D03DF"/>
    <w:rsid w:val="002D2A8D"/>
    <w:rsid w:val="002D2ECB"/>
    <w:rsid w:val="002D48B6"/>
    <w:rsid w:val="002D6423"/>
    <w:rsid w:val="002D6A6E"/>
    <w:rsid w:val="002D6C54"/>
    <w:rsid w:val="002E0527"/>
    <w:rsid w:val="002E3601"/>
    <w:rsid w:val="002E64A2"/>
    <w:rsid w:val="002E6B88"/>
    <w:rsid w:val="002F009E"/>
    <w:rsid w:val="002F00D3"/>
    <w:rsid w:val="002F35C7"/>
    <w:rsid w:val="002F4092"/>
    <w:rsid w:val="002F4C6D"/>
    <w:rsid w:val="002F564C"/>
    <w:rsid w:val="002F69E2"/>
    <w:rsid w:val="0030009B"/>
    <w:rsid w:val="00300740"/>
    <w:rsid w:val="00300932"/>
    <w:rsid w:val="00301447"/>
    <w:rsid w:val="003045F6"/>
    <w:rsid w:val="003074D5"/>
    <w:rsid w:val="00311987"/>
    <w:rsid w:val="00312560"/>
    <w:rsid w:val="00314B59"/>
    <w:rsid w:val="003150D0"/>
    <w:rsid w:val="0031688B"/>
    <w:rsid w:val="00316C34"/>
    <w:rsid w:val="00321054"/>
    <w:rsid w:val="003241F2"/>
    <w:rsid w:val="00324A6B"/>
    <w:rsid w:val="00325C9D"/>
    <w:rsid w:val="003278AA"/>
    <w:rsid w:val="003307F8"/>
    <w:rsid w:val="00330879"/>
    <w:rsid w:val="00331425"/>
    <w:rsid w:val="003329ED"/>
    <w:rsid w:val="003339EF"/>
    <w:rsid w:val="00341156"/>
    <w:rsid w:val="00343439"/>
    <w:rsid w:val="00343A6E"/>
    <w:rsid w:val="00343B9A"/>
    <w:rsid w:val="00344277"/>
    <w:rsid w:val="00345114"/>
    <w:rsid w:val="00346B53"/>
    <w:rsid w:val="003500F5"/>
    <w:rsid w:val="00350EF7"/>
    <w:rsid w:val="00350FDB"/>
    <w:rsid w:val="003548EA"/>
    <w:rsid w:val="00354918"/>
    <w:rsid w:val="00355474"/>
    <w:rsid w:val="00357C21"/>
    <w:rsid w:val="00361440"/>
    <w:rsid w:val="003637C7"/>
    <w:rsid w:val="00365288"/>
    <w:rsid w:val="003659B1"/>
    <w:rsid w:val="00365CD6"/>
    <w:rsid w:val="00365EF6"/>
    <w:rsid w:val="003663C8"/>
    <w:rsid w:val="003665CB"/>
    <w:rsid w:val="00367CCF"/>
    <w:rsid w:val="00367ECC"/>
    <w:rsid w:val="00371A1D"/>
    <w:rsid w:val="003734E6"/>
    <w:rsid w:val="00374EF1"/>
    <w:rsid w:val="0038030C"/>
    <w:rsid w:val="003831CB"/>
    <w:rsid w:val="003835B1"/>
    <w:rsid w:val="003911E6"/>
    <w:rsid w:val="00391679"/>
    <w:rsid w:val="00391E5E"/>
    <w:rsid w:val="003A2EE0"/>
    <w:rsid w:val="003A3378"/>
    <w:rsid w:val="003A5905"/>
    <w:rsid w:val="003A6091"/>
    <w:rsid w:val="003A64B0"/>
    <w:rsid w:val="003A686F"/>
    <w:rsid w:val="003A690A"/>
    <w:rsid w:val="003B0234"/>
    <w:rsid w:val="003B1349"/>
    <w:rsid w:val="003B177F"/>
    <w:rsid w:val="003B266E"/>
    <w:rsid w:val="003B39C1"/>
    <w:rsid w:val="003B41A1"/>
    <w:rsid w:val="003B52CD"/>
    <w:rsid w:val="003B5711"/>
    <w:rsid w:val="003B6097"/>
    <w:rsid w:val="003C0F51"/>
    <w:rsid w:val="003C16D6"/>
    <w:rsid w:val="003C2398"/>
    <w:rsid w:val="003C5C4C"/>
    <w:rsid w:val="003C632E"/>
    <w:rsid w:val="003C7A78"/>
    <w:rsid w:val="003D0054"/>
    <w:rsid w:val="003D1171"/>
    <w:rsid w:val="003D1CFA"/>
    <w:rsid w:val="003D2A20"/>
    <w:rsid w:val="003D4497"/>
    <w:rsid w:val="003D4CA7"/>
    <w:rsid w:val="003D51B0"/>
    <w:rsid w:val="003D522D"/>
    <w:rsid w:val="003E355B"/>
    <w:rsid w:val="003E58FF"/>
    <w:rsid w:val="003E5CA8"/>
    <w:rsid w:val="003F0AE9"/>
    <w:rsid w:val="003F0ED7"/>
    <w:rsid w:val="003F17D9"/>
    <w:rsid w:val="003F1C58"/>
    <w:rsid w:val="003F4986"/>
    <w:rsid w:val="0040076F"/>
    <w:rsid w:val="00401496"/>
    <w:rsid w:val="004017D4"/>
    <w:rsid w:val="00402109"/>
    <w:rsid w:val="00402303"/>
    <w:rsid w:val="004025D6"/>
    <w:rsid w:val="00403252"/>
    <w:rsid w:val="0040615B"/>
    <w:rsid w:val="0040799E"/>
    <w:rsid w:val="004107DE"/>
    <w:rsid w:val="00414417"/>
    <w:rsid w:val="00416433"/>
    <w:rsid w:val="00416541"/>
    <w:rsid w:val="004169D1"/>
    <w:rsid w:val="00417C68"/>
    <w:rsid w:val="00417FBC"/>
    <w:rsid w:val="00421F4C"/>
    <w:rsid w:val="00423C9F"/>
    <w:rsid w:val="00423F7E"/>
    <w:rsid w:val="0042491D"/>
    <w:rsid w:val="0042608E"/>
    <w:rsid w:val="004263E2"/>
    <w:rsid w:val="00430DCF"/>
    <w:rsid w:val="00431150"/>
    <w:rsid w:val="00431B7D"/>
    <w:rsid w:val="004424C9"/>
    <w:rsid w:val="00443C42"/>
    <w:rsid w:val="004445D9"/>
    <w:rsid w:val="0044553B"/>
    <w:rsid w:val="004468FE"/>
    <w:rsid w:val="00450999"/>
    <w:rsid w:val="00450A34"/>
    <w:rsid w:val="00450D06"/>
    <w:rsid w:val="00451DDB"/>
    <w:rsid w:val="00453373"/>
    <w:rsid w:val="0045751C"/>
    <w:rsid w:val="00461891"/>
    <w:rsid w:val="00462109"/>
    <w:rsid w:val="00462B64"/>
    <w:rsid w:val="00463BB6"/>
    <w:rsid w:val="004664D3"/>
    <w:rsid w:val="00466A26"/>
    <w:rsid w:val="00467261"/>
    <w:rsid w:val="00470D1D"/>
    <w:rsid w:val="00472156"/>
    <w:rsid w:val="0047300F"/>
    <w:rsid w:val="00473125"/>
    <w:rsid w:val="00473A95"/>
    <w:rsid w:val="004753DB"/>
    <w:rsid w:val="004768BB"/>
    <w:rsid w:val="0047771F"/>
    <w:rsid w:val="00477BEB"/>
    <w:rsid w:val="0048068D"/>
    <w:rsid w:val="00481A39"/>
    <w:rsid w:val="00482D4A"/>
    <w:rsid w:val="004843D1"/>
    <w:rsid w:val="00486872"/>
    <w:rsid w:val="004869E6"/>
    <w:rsid w:val="00491B7B"/>
    <w:rsid w:val="0049304A"/>
    <w:rsid w:val="00493424"/>
    <w:rsid w:val="00495787"/>
    <w:rsid w:val="00497665"/>
    <w:rsid w:val="004A26BC"/>
    <w:rsid w:val="004A5AF8"/>
    <w:rsid w:val="004A7B65"/>
    <w:rsid w:val="004A7F40"/>
    <w:rsid w:val="004B0198"/>
    <w:rsid w:val="004B0B56"/>
    <w:rsid w:val="004B37A2"/>
    <w:rsid w:val="004B3C07"/>
    <w:rsid w:val="004B406F"/>
    <w:rsid w:val="004B5037"/>
    <w:rsid w:val="004B588A"/>
    <w:rsid w:val="004B5ACE"/>
    <w:rsid w:val="004B610B"/>
    <w:rsid w:val="004B73AD"/>
    <w:rsid w:val="004C051C"/>
    <w:rsid w:val="004C1032"/>
    <w:rsid w:val="004C432F"/>
    <w:rsid w:val="004C6A7E"/>
    <w:rsid w:val="004D19F1"/>
    <w:rsid w:val="004D2011"/>
    <w:rsid w:val="004D3958"/>
    <w:rsid w:val="004D46CA"/>
    <w:rsid w:val="004D5CE9"/>
    <w:rsid w:val="004D5F2C"/>
    <w:rsid w:val="004D71F3"/>
    <w:rsid w:val="004D7418"/>
    <w:rsid w:val="004D7FF5"/>
    <w:rsid w:val="004E240C"/>
    <w:rsid w:val="004E2471"/>
    <w:rsid w:val="004E666A"/>
    <w:rsid w:val="004E7C4E"/>
    <w:rsid w:val="004E7CB8"/>
    <w:rsid w:val="004F0A69"/>
    <w:rsid w:val="004F321F"/>
    <w:rsid w:val="004F56A7"/>
    <w:rsid w:val="00503FCC"/>
    <w:rsid w:val="00506946"/>
    <w:rsid w:val="005100D7"/>
    <w:rsid w:val="00511F9D"/>
    <w:rsid w:val="00513090"/>
    <w:rsid w:val="00514916"/>
    <w:rsid w:val="00515401"/>
    <w:rsid w:val="005164D7"/>
    <w:rsid w:val="00517BB8"/>
    <w:rsid w:val="00517C36"/>
    <w:rsid w:val="00521618"/>
    <w:rsid w:val="00521A54"/>
    <w:rsid w:val="00522B71"/>
    <w:rsid w:val="00524088"/>
    <w:rsid w:val="005267D5"/>
    <w:rsid w:val="005319D0"/>
    <w:rsid w:val="00535B21"/>
    <w:rsid w:val="00540C36"/>
    <w:rsid w:val="005410F6"/>
    <w:rsid w:val="00541408"/>
    <w:rsid w:val="00541626"/>
    <w:rsid w:val="0054208D"/>
    <w:rsid w:val="00543FF2"/>
    <w:rsid w:val="0054456F"/>
    <w:rsid w:val="005445D2"/>
    <w:rsid w:val="005447EF"/>
    <w:rsid w:val="00544D8F"/>
    <w:rsid w:val="00544E2B"/>
    <w:rsid w:val="00546986"/>
    <w:rsid w:val="0055042D"/>
    <w:rsid w:val="00550B6E"/>
    <w:rsid w:val="00550E67"/>
    <w:rsid w:val="00554C02"/>
    <w:rsid w:val="00555036"/>
    <w:rsid w:val="00555F40"/>
    <w:rsid w:val="0055753E"/>
    <w:rsid w:val="00562884"/>
    <w:rsid w:val="00563494"/>
    <w:rsid w:val="00567E5B"/>
    <w:rsid w:val="00572513"/>
    <w:rsid w:val="00574344"/>
    <w:rsid w:val="00575AA2"/>
    <w:rsid w:val="00575D98"/>
    <w:rsid w:val="00576FE4"/>
    <w:rsid w:val="00577297"/>
    <w:rsid w:val="00577398"/>
    <w:rsid w:val="00577888"/>
    <w:rsid w:val="00581CCE"/>
    <w:rsid w:val="0058212A"/>
    <w:rsid w:val="00583BF7"/>
    <w:rsid w:val="005847D3"/>
    <w:rsid w:val="00584B51"/>
    <w:rsid w:val="00585AF7"/>
    <w:rsid w:val="0059091B"/>
    <w:rsid w:val="00592972"/>
    <w:rsid w:val="00593475"/>
    <w:rsid w:val="0059427F"/>
    <w:rsid w:val="00595336"/>
    <w:rsid w:val="0059538E"/>
    <w:rsid w:val="005A4288"/>
    <w:rsid w:val="005A4309"/>
    <w:rsid w:val="005A62A2"/>
    <w:rsid w:val="005A7022"/>
    <w:rsid w:val="005B0B41"/>
    <w:rsid w:val="005C0CEE"/>
    <w:rsid w:val="005C3889"/>
    <w:rsid w:val="005C44B8"/>
    <w:rsid w:val="005C5359"/>
    <w:rsid w:val="005C6852"/>
    <w:rsid w:val="005C7706"/>
    <w:rsid w:val="005D0F67"/>
    <w:rsid w:val="005D2DBD"/>
    <w:rsid w:val="005D6C6B"/>
    <w:rsid w:val="005D7EC3"/>
    <w:rsid w:val="005E0FB7"/>
    <w:rsid w:val="005E1176"/>
    <w:rsid w:val="005E3A29"/>
    <w:rsid w:val="005E714F"/>
    <w:rsid w:val="005E7E4B"/>
    <w:rsid w:val="005F01B9"/>
    <w:rsid w:val="005F0D14"/>
    <w:rsid w:val="005F173C"/>
    <w:rsid w:val="005F1B52"/>
    <w:rsid w:val="005F2588"/>
    <w:rsid w:val="005F37B4"/>
    <w:rsid w:val="005F618B"/>
    <w:rsid w:val="005F6203"/>
    <w:rsid w:val="005F73F6"/>
    <w:rsid w:val="00603AB4"/>
    <w:rsid w:val="00604156"/>
    <w:rsid w:val="006048B8"/>
    <w:rsid w:val="006053D8"/>
    <w:rsid w:val="00605C90"/>
    <w:rsid w:val="006118A6"/>
    <w:rsid w:val="00611F26"/>
    <w:rsid w:val="00613CBE"/>
    <w:rsid w:val="00614375"/>
    <w:rsid w:val="0061577A"/>
    <w:rsid w:val="00617F35"/>
    <w:rsid w:val="00620E59"/>
    <w:rsid w:val="0062238A"/>
    <w:rsid w:val="00622ABA"/>
    <w:rsid w:val="006278FD"/>
    <w:rsid w:val="00631317"/>
    <w:rsid w:val="00634F3E"/>
    <w:rsid w:val="006357E9"/>
    <w:rsid w:val="006364D9"/>
    <w:rsid w:val="00636CB8"/>
    <w:rsid w:val="00640FC6"/>
    <w:rsid w:val="00641593"/>
    <w:rsid w:val="00642931"/>
    <w:rsid w:val="006476FE"/>
    <w:rsid w:val="006478CD"/>
    <w:rsid w:val="00652DA4"/>
    <w:rsid w:val="00653A07"/>
    <w:rsid w:val="0065412D"/>
    <w:rsid w:val="006577F7"/>
    <w:rsid w:val="00657A4E"/>
    <w:rsid w:val="00657FEB"/>
    <w:rsid w:val="00664BD5"/>
    <w:rsid w:val="0066631C"/>
    <w:rsid w:val="0067156F"/>
    <w:rsid w:val="006728E6"/>
    <w:rsid w:val="00673E8F"/>
    <w:rsid w:val="0067611C"/>
    <w:rsid w:val="00676F12"/>
    <w:rsid w:val="006772FB"/>
    <w:rsid w:val="00681B8C"/>
    <w:rsid w:val="00682C86"/>
    <w:rsid w:val="006831B7"/>
    <w:rsid w:val="0068460E"/>
    <w:rsid w:val="00687286"/>
    <w:rsid w:val="00690522"/>
    <w:rsid w:val="006906E3"/>
    <w:rsid w:val="006938E2"/>
    <w:rsid w:val="00695484"/>
    <w:rsid w:val="00696BA4"/>
    <w:rsid w:val="006A0000"/>
    <w:rsid w:val="006A1243"/>
    <w:rsid w:val="006A1471"/>
    <w:rsid w:val="006A2E23"/>
    <w:rsid w:val="006A48BF"/>
    <w:rsid w:val="006A5213"/>
    <w:rsid w:val="006B06D3"/>
    <w:rsid w:val="006B256D"/>
    <w:rsid w:val="006B4A43"/>
    <w:rsid w:val="006B5A0F"/>
    <w:rsid w:val="006B7AC2"/>
    <w:rsid w:val="006C0309"/>
    <w:rsid w:val="006C1A56"/>
    <w:rsid w:val="006C63A7"/>
    <w:rsid w:val="006D021D"/>
    <w:rsid w:val="006D5685"/>
    <w:rsid w:val="006D6CA1"/>
    <w:rsid w:val="006E02D9"/>
    <w:rsid w:val="006E1ABA"/>
    <w:rsid w:val="006E1D7B"/>
    <w:rsid w:val="006E3655"/>
    <w:rsid w:val="006E41D9"/>
    <w:rsid w:val="006E644A"/>
    <w:rsid w:val="006E6952"/>
    <w:rsid w:val="006E7869"/>
    <w:rsid w:val="006F06EC"/>
    <w:rsid w:val="006F1513"/>
    <w:rsid w:val="006F3686"/>
    <w:rsid w:val="006F3DA9"/>
    <w:rsid w:val="006F4CB4"/>
    <w:rsid w:val="006F5BB7"/>
    <w:rsid w:val="006F6BEE"/>
    <w:rsid w:val="006F783A"/>
    <w:rsid w:val="00701728"/>
    <w:rsid w:val="00705DB6"/>
    <w:rsid w:val="00706AF7"/>
    <w:rsid w:val="00710445"/>
    <w:rsid w:val="00710DFC"/>
    <w:rsid w:val="00711423"/>
    <w:rsid w:val="0071273D"/>
    <w:rsid w:val="00714FF6"/>
    <w:rsid w:val="00717AB3"/>
    <w:rsid w:val="00720235"/>
    <w:rsid w:val="00721D07"/>
    <w:rsid w:val="007224C8"/>
    <w:rsid w:val="007236D4"/>
    <w:rsid w:val="00723D4B"/>
    <w:rsid w:val="0072607A"/>
    <w:rsid w:val="0072615C"/>
    <w:rsid w:val="00727CB1"/>
    <w:rsid w:val="007304CB"/>
    <w:rsid w:val="00731B4A"/>
    <w:rsid w:val="00732157"/>
    <w:rsid w:val="00732D64"/>
    <w:rsid w:val="00733872"/>
    <w:rsid w:val="007354B0"/>
    <w:rsid w:val="0073586E"/>
    <w:rsid w:val="0073605B"/>
    <w:rsid w:val="00736AFF"/>
    <w:rsid w:val="0073721F"/>
    <w:rsid w:val="007425D7"/>
    <w:rsid w:val="007442F5"/>
    <w:rsid w:val="007454CE"/>
    <w:rsid w:val="00745D16"/>
    <w:rsid w:val="00747CB0"/>
    <w:rsid w:val="00750135"/>
    <w:rsid w:val="007526E8"/>
    <w:rsid w:val="007539B1"/>
    <w:rsid w:val="00753AC4"/>
    <w:rsid w:val="007646F6"/>
    <w:rsid w:val="00764B25"/>
    <w:rsid w:val="007655D5"/>
    <w:rsid w:val="007657AA"/>
    <w:rsid w:val="007707D4"/>
    <w:rsid w:val="0077087B"/>
    <w:rsid w:val="00770AEF"/>
    <w:rsid w:val="00770F03"/>
    <w:rsid w:val="00770FB6"/>
    <w:rsid w:val="00771BA2"/>
    <w:rsid w:val="00773FB2"/>
    <w:rsid w:val="00774CDC"/>
    <w:rsid w:val="007756A6"/>
    <w:rsid w:val="007762D0"/>
    <w:rsid w:val="00780E52"/>
    <w:rsid w:val="0078299E"/>
    <w:rsid w:val="00782FE4"/>
    <w:rsid w:val="00783F2F"/>
    <w:rsid w:val="00785C8A"/>
    <w:rsid w:val="00790945"/>
    <w:rsid w:val="00792C91"/>
    <w:rsid w:val="00793135"/>
    <w:rsid w:val="00793A2D"/>
    <w:rsid w:val="00794756"/>
    <w:rsid w:val="00795E0C"/>
    <w:rsid w:val="00797CDB"/>
    <w:rsid w:val="007A0285"/>
    <w:rsid w:val="007A0422"/>
    <w:rsid w:val="007A6FC5"/>
    <w:rsid w:val="007A75EB"/>
    <w:rsid w:val="007B12A7"/>
    <w:rsid w:val="007B62A2"/>
    <w:rsid w:val="007B6C04"/>
    <w:rsid w:val="007B76AE"/>
    <w:rsid w:val="007B7F14"/>
    <w:rsid w:val="007C49D5"/>
    <w:rsid w:val="007C6206"/>
    <w:rsid w:val="007C759E"/>
    <w:rsid w:val="007D025C"/>
    <w:rsid w:val="007D3173"/>
    <w:rsid w:val="007D5450"/>
    <w:rsid w:val="007E0577"/>
    <w:rsid w:val="007E30A6"/>
    <w:rsid w:val="007E377D"/>
    <w:rsid w:val="007E5946"/>
    <w:rsid w:val="007E6812"/>
    <w:rsid w:val="007F02F6"/>
    <w:rsid w:val="007F12EE"/>
    <w:rsid w:val="007F595C"/>
    <w:rsid w:val="007F7F6C"/>
    <w:rsid w:val="00801052"/>
    <w:rsid w:val="008015CA"/>
    <w:rsid w:val="008024CF"/>
    <w:rsid w:val="00803735"/>
    <w:rsid w:val="00811822"/>
    <w:rsid w:val="00811AE3"/>
    <w:rsid w:val="00811BA2"/>
    <w:rsid w:val="0081216F"/>
    <w:rsid w:val="00813110"/>
    <w:rsid w:val="0081334D"/>
    <w:rsid w:val="008154D9"/>
    <w:rsid w:val="00815ABE"/>
    <w:rsid w:val="008203E6"/>
    <w:rsid w:val="00821C04"/>
    <w:rsid w:val="00822392"/>
    <w:rsid w:val="0082527E"/>
    <w:rsid w:val="0082540C"/>
    <w:rsid w:val="00826665"/>
    <w:rsid w:val="00826D6D"/>
    <w:rsid w:val="00830817"/>
    <w:rsid w:val="008331EF"/>
    <w:rsid w:val="00834AF3"/>
    <w:rsid w:val="00836283"/>
    <w:rsid w:val="00840539"/>
    <w:rsid w:val="008405D3"/>
    <w:rsid w:val="0084075F"/>
    <w:rsid w:val="008418D7"/>
    <w:rsid w:val="00841E19"/>
    <w:rsid w:val="008444CA"/>
    <w:rsid w:val="00846519"/>
    <w:rsid w:val="00846BE0"/>
    <w:rsid w:val="00847780"/>
    <w:rsid w:val="00850473"/>
    <w:rsid w:val="008515C2"/>
    <w:rsid w:val="00852C52"/>
    <w:rsid w:val="008551D4"/>
    <w:rsid w:val="008629D7"/>
    <w:rsid w:val="00864513"/>
    <w:rsid w:val="00864855"/>
    <w:rsid w:val="008651F6"/>
    <w:rsid w:val="008656A3"/>
    <w:rsid w:val="00866A55"/>
    <w:rsid w:val="0086767F"/>
    <w:rsid w:val="008700B3"/>
    <w:rsid w:val="00872374"/>
    <w:rsid w:val="008735BC"/>
    <w:rsid w:val="00874232"/>
    <w:rsid w:val="00875AA2"/>
    <w:rsid w:val="00877FEA"/>
    <w:rsid w:val="00880B07"/>
    <w:rsid w:val="0088366C"/>
    <w:rsid w:val="008837D5"/>
    <w:rsid w:val="00887A84"/>
    <w:rsid w:val="00890633"/>
    <w:rsid w:val="00892EED"/>
    <w:rsid w:val="00894F06"/>
    <w:rsid w:val="00895833"/>
    <w:rsid w:val="00895F5A"/>
    <w:rsid w:val="008964A4"/>
    <w:rsid w:val="00897C5F"/>
    <w:rsid w:val="008A070A"/>
    <w:rsid w:val="008A65D1"/>
    <w:rsid w:val="008B1938"/>
    <w:rsid w:val="008B393B"/>
    <w:rsid w:val="008B472E"/>
    <w:rsid w:val="008B53FD"/>
    <w:rsid w:val="008B5CE3"/>
    <w:rsid w:val="008C0736"/>
    <w:rsid w:val="008C4624"/>
    <w:rsid w:val="008C749F"/>
    <w:rsid w:val="008C74BD"/>
    <w:rsid w:val="008D45B7"/>
    <w:rsid w:val="008D46FD"/>
    <w:rsid w:val="008D5DC3"/>
    <w:rsid w:val="008D5F2D"/>
    <w:rsid w:val="008E30EC"/>
    <w:rsid w:val="008E515C"/>
    <w:rsid w:val="008E684F"/>
    <w:rsid w:val="008E6C4F"/>
    <w:rsid w:val="008F0241"/>
    <w:rsid w:val="008F04D6"/>
    <w:rsid w:val="008F0DD0"/>
    <w:rsid w:val="008F1D28"/>
    <w:rsid w:val="008F3DDC"/>
    <w:rsid w:val="008F427B"/>
    <w:rsid w:val="008F69DC"/>
    <w:rsid w:val="008F7653"/>
    <w:rsid w:val="00902069"/>
    <w:rsid w:val="009029FB"/>
    <w:rsid w:val="00902C6C"/>
    <w:rsid w:val="0090628B"/>
    <w:rsid w:val="00907C6E"/>
    <w:rsid w:val="00910D8F"/>
    <w:rsid w:val="00911099"/>
    <w:rsid w:val="0091128F"/>
    <w:rsid w:val="009112A3"/>
    <w:rsid w:val="00911BBE"/>
    <w:rsid w:val="00911C8D"/>
    <w:rsid w:val="00912977"/>
    <w:rsid w:val="00913FBC"/>
    <w:rsid w:val="00914486"/>
    <w:rsid w:val="009149E1"/>
    <w:rsid w:val="0092022C"/>
    <w:rsid w:val="00921A7D"/>
    <w:rsid w:val="0092300C"/>
    <w:rsid w:val="00925992"/>
    <w:rsid w:val="00926F6D"/>
    <w:rsid w:val="00932E55"/>
    <w:rsid w:val="00932E79"/>
    <w:rsid w:val="00933847"/>
    <w:rsid w:val="00933A7A"/>
    <w:rsid w:val="00933B98"/>
    <w:rsid w:val="00934F35"/>
    <w:rsid w:val="009356C3"/>
    <w:rsid w:val="0093616E"/>
    <w:rsid w:val="00940C13"/>
    <w:rsid w:val="00941CD8"/>
    <w:rsid w:val="00941D9E"/>
    <w:rsid w:val="00947100"/>
    <w:rsid w:val="009513E3"/>
    <w:rsid w:val="0095331A"/>
    <w:rsid w:val="00953AEF"/>
    <w:rsid w:val="00955093"/>
    <w:rsid w:val="009578D6"/>
    <w:rsid w:val="00960EA5"/>
    <w:rsid w:val="009612EE"/>
    <w:rsid w:val="0096186B"/>
    <w:rsid w:val="00962F8C"/>
    <w:rsid w:val="00965225"/>
    <w:rsid w:val="009656E0"/>
    <w:rsid w:val="00965B13"/>
    <w:rsid w:val="00966FD9"/>
    <w:rsid w:val="009702AA"/>
    <w:rsid w:val="0097189C"/>
    <w:rsid w:val="009724BC"/>
    <w:rsid w:val="00972FD3"/>
    <w:rsid w:val="00973FB8"/>
    <w:rsid w:val="00975DA4"/>
    <w:rsid w:val="00976499"/>
    <w:rsid w:val="00980725"/>
    <w:rsid w:val="009809FC"/>
    <w:rsid w:val="00983825"/>
    <w:rsid w:val="0098479E"/>
    <w:rsid w:val="00986441"/>
    <w:rsid w:val="0099280C"/>
    <w:rsid w:val="0099384C"/>
    <w:rsid w:val="0099404A"/>
    <w:rsid w:val="00994A88"/>
    <w:rsid w:val="009970D1"/>
    <w:rsid w:val="00997B46"/>
    <w:rsid w:val="00997CF0"/>
    <w:rsid w:val="009A0938"/>
    <w:rsid w:val="009A1A43"/>
    <w:rsid w:val="009A2A67"/>
    <w:rsid w:val="009A387C"/>
    <w:rsid w:val="009A650C"/>
    <w:rsid w:val="009B3B28"/>
    <w:rsid w:val="009B5880"/>
    <w:rsid w:val="009B61F3"/>
    <w:rsid w:val="009C06F4"/>
    <w:rsid w:val="009C0DDF"/>
    <w:rsid w:val="009C1ADA"/>
    <w:rsid w:val="009C1D39"/>
    <w:rsid w:val="009C20C6"/>
    <w:rsid w:val="009C7900"/>
    <w:rsid w:val="009D6CBB"/>
    <w:rsid w:val="009D7586"/>
    <w:rsid w:val="009E0BA1"/>
    <w:rsid w:val="009E3C40"/>
    <w:rsid w:val="009E414E"/>
    <w:rsid w:val="009E4405"/>
    <w:rsid w:val="009E68CD"/>
    <w:rsid w:val="009E6F82"/>
    <w:rsid w:val="009E74FC"/>
    <w:rsid w:val="009F04EF"/>
    <w:rsid w:val="009F0EF9"/>
    <w:rsid w:val="009F52C4"/>
    <w:rsid w:val="009F548F"/>
    <w:rsid w:val="009F6724"/>
    <w:rsid w:val="00A00D3F"/>
    <w:rsid w:val="00A02683"/>
    <w:rsid w:val="00A051AC"/>
    <w:rsid w:val="00A05352"/>
    <w:rsid w:val="00A072D6"/>
    <w:rsid w:val="00A117B4"/>
    <w:rsid w:val="00A12926"/>
    <w:rsid w:val="00A133AC"/>
    <w:rsid w:val="00A1626F"/>
    <w:rsid w:val="00A20589"/>
    <w:rsid w:val="00A206FF"/>
    <w:rsid w:val="00A20D90"/>
    <w:rsid w:val="00A22D54"/>
    <w:rsid w:val="00A2564F"/>
    <w:rsid w:val="00A264EF"/>
    <w:rsid w:val="00A26B73"/>
    <w:rsid w:val="00A27501"/>
    <w:rsid w:val="00A3068D"/>
    <w:rsid w:val="00A310D4"/>
    <w:rsid w:val="00A31135"/>
    <w:rsid w:val="00A312CB"/>
    <w:rsid w:val="00A33795"/>
    <w:rsid w:val="00A33CF1"/>
    <w:rsid w:val="00A349D1"/>
    <w:rsid w:val="00A36B9D"/>
    <w:rsid w:val="00A36FC7"/>
    <w:rsid w:val="00A37657"/>
    <w:rsid w:val="00A40F97"/>
    <w:rsid w:val="00A415D0"/>
    <w:rsid w:val="00A42A0E"/>
    <w:rsid w:val="00A44608"/>
    <w:rsid w:val="00A44981"/>
    <w:rsid w:val="00A449A6"/>
    <w:rsid w:val="00A449D2"/>
    <w:rsid w:val="00A47417"/>
    <w:rsid w:val="00A478F0"/>
    <w:rsid w:val="00A51C4C"/>
    <w:rsid w:val="00A523D6"/>
    <w:rsid w:val="00A54DFE"/>
    <w:rsid w:val="00A56DA9"/>
    <w:rsid w:val="00A61D9B"/>
    <w:rsid w:val="00A62DE6"/>
    <w:rsid w:val="00A64640"/>
    <w:rsid w:val="00A715D6"/>
    <w:rsid w:val="00A72394"/>
    <w:rsid w:val="00A73F8A"/>
    <w:rsid w:val="00A74E5D"/>
    <w:rsid w:val="00A7576A"/>
    <w:rsid w:val="00A7649E"/>
    <w:rsid w:val="00A817EC"/>
    <w:rsid w:val="00A82796"/>
    <w:rsid w:val="00A85F63"/>
    <w:rsid w:val="00A87426"/>
    <w:rsid w:val="00A9231D"/>
    <w:rsid w:val="00A93544"/>
    <w:rsid w:val="00A936B5"/>
    <w:rsid w:val="00A93F22"/>
    <w:rsid w:val="00A94CF2"/>
    <w:rsid w:val="00A95541"/>
    <w:rsid w:val="00A962BB"/>
    <w:rsid w:val="00AA493A"/>
    <w:rsid w:val="00AA6DAA"/>
    <w:rsid w:val="00AA76D7"/>
    <w:rsid w:val="00AA76FE"/>
    <w:rsid w:val="00AA7C4B"/>
    <w:rsid w:val="00AB0807"/>
    <w:rsid w:val="00AB0BE7"/>
    <w:rsid w:val="00AB1E3E"/>
    <w:rsid w:val="00AB2DF2"/>
    <w:rsid w:val="00AC6922"/>
    <w:rsid w:val="00AC6D63"/>
    <w:rsid w:val="00AC7644"/>
    <w:rsid w:val="00AD2063"/>
    <w:rsid w:val="00AD2865"/>
    <w:rsid w:val="00AD2CA0"/>
    <w:rsid w:val="00AD4B28"/>
    <w:rsid w:val="00AD594E"/>
    <w:rsid w:val="00AE1F84"/>
    <w:rsid w:val="00AE3148"/>
    <w:rsid w:val="00AE4004"/>
    <w:rsid w:val="00AE5A2B"/>
    <w:rsid w:val="00AE5C5A"/>
    <w:rsid w:val="00AE6CEC"/>
    <w:rsid w:val="00AE7298"/>
    <w:rsid w:val="00AE74FD"/>
    <w:rsid w:val="00AE7601"/>
    <w:rsid w:val="00AE7BD1"/>
    <w:rsid w:val="00AF1615"/>
    <w:rsid w:val="00AF373A"/>
    <w:rsid w:val="00AF5082"/>
    <w:rsid w:val="00AF5F05"/>
    <w:rsid w:val="00AF6CD3"/>
    <w:rsid w:val="00AF6DBB"/>
    <w:rsid w:val="00B0062D"/>
    <w:rsid w:val="00B00FFB"/>
    <w:rsid w:val="00B0131D"/>
    <w:rsid w:val="00B01A34"/>
    <w:rsid w:val="00B04467"/>
    <w:rsid w:val="00B0484D"/>
    <w:rsid w:val="00B05385"/>
    <w:rsid w:val="00B05550"/>
    <w:rsid w:val="00B1161F"/>
    <w:rsid w:val="00B130E3"/>
    <w:rsid w:val="00B1400C"/>
    <w:rsid w:val="00B1471B"/>
    <w:rsid w:val="00B154E7"/>
    <w:rsid w:val="00B206DC"/>
    <w:rsid w:val="00B21855"/>
    <w:rsid w:val="00B25CC5"/>
    <w:rsid w:val="00B25E08"/>
    <w:rsid w:val="00B26FE2"/>
    <w:rsid w:val="00B27981"/>
    <w:rsid w:val="00B30814"/>
    <w:rsid w:val="00B35E04"/>
    <w:rsid w:val="00B35F87"/>
    <w:rsid w:val="00B43250"/>
    <w:rsid w:val="00B44607"/>
    <w:rsid w:val="00B44B14"/>
    <w:rsid w:val="00B466DA"/>
    <w:rsid w:val="00B51DFA"/>
    <w:rsid w:val="00B56AC4"/>
    <w:rsid w:val="00B56CFB"/>
    <w:rsid w:val="00B60280"/>
    <w:rsid w:val="00B61ADC"/>
    <w:rsid w:val="00B62F56"/>
    <w:rsid w:val="00B65EC1"/>
    <w:rsid w:val="00B67815"/>
    <w:rsid w:val="00B67AF3"/>
    <w:rsid w:val="00B70CC7"/>
    <w:rsid w:val="00B70F07"/>
    <w:rsid w:val="00B710F3"/>
    <w:rsid w:val="00B72016"/>
    <w:rsid w:val="00B742CE"/>
    <w:rsid w:val="00B77E74"/>
    <w:rsid w:val="00B840CC"/>
    <w:rsid w:val="00B86004"/>
    <w:rsid w:val="00B902F2"/>
    <w:rsid w:val="00B91245"/>
    <w:rsid w:val="00B92DF5"/>
    <w:rsid w:val="00B9506A"/>
    <w:rsid w:val="00B95C2C"/>
    <w:rsid w:val="00B9693A"/>
    <w:rsid w:val="00B969D3"/>
    <w:rsid w:val="00BA1137"/>
    <w:rsid w:val="00BA1BFA"/>
    <w:rsid w:val="00BA4EB5"/>
    <w:rsid w:val="00BA6636"/>
    <w:rsid w:val="00BA6C04"/>
    <w:rsid w:val="00BB030B"/>
    <w:rsid w:val="00BB2669"/>
    <w:rsid w:val="00BB371E"/>
    <w:rsid w:val="00BB4121"/>
    <w:rsid w:val="00BB56BB"/>
    <w:rsid w:val="00BB64DE"/>
    <w:rsid w:val="00BB68CF"/>
    <w:rsid w:val="00BC2F57"/>
    <w:rsid w:val="00BC4CAB"/>
    <w:rsid w:val="00BC4F1E"/>
    <w:rsid w:val="00BC6768"/>
    <w:rsid w:val="00BC7B2A"/>
    <w:rsid w:val="00BD2D56"/>
    <w:rsid w:val="00BD4282"/>
    <w:rsid w:val="00BD47E7"/>
    <w:rsid w:val="00BE0403"/>
    <w:rsid w:val="00BE1636"/>
    <w:rsid w:val="00BE197F"/>
    <w:rsid w:val="00BE1D3C"/>
    <w:rsid w:val="00BE2238"/>
    <w:rsid w:val="00BE30BC"/>
    <w:rsid w:val="00BE4A26"/>
    <w:rsid w:val="00BF04D9"/>
    <w:rsid w:val="00BF22AB"/>
    <w:rsid w:val="00BF496B"/>
    <w:rsid w:val="00BF57F6"/>
    <w:rsid w:val="00BF5AF8"/>
    <w:rsid w:val="00BF62EF"/>
    <w:rsid w:val="00BF6D84"/>
    <w:rsid w:val="00BF7211"/>
    <w:rsid w:val="00C00CF4"/>
    <w:rsid w:val="00C03963"/>
    <w:rsid w:val="00C04342"/>
    <w:rsid w:val="00C06231"/>
    <w:rsid w:val="00C06511"/>
    <w:rsid w:val="00C07B9B"/>
    <w:rsid w:val="00C1123C"/>
    <w:rsid w:val="00C12A29"/>
    <w:rsid w:val="00C13435"/>
    <w:rsid w:val="00C13DA6"/>
    <w:rsid w:val="00C142B3"/>
    <w:rsid w:val="00C14802"/>
    <w:rsid w:val="00C14C56"/>
    <w:rsid w:val="00C1523A"/>
    <w:rsid w:val="00C162AF"/>
    <w:rsid w:val="00C17B1D"/>
    <w:rsid w:val="00C20C7A"/>
    <w:rsid w:val="00C219EA"/>
    <w:rsid w:val="00C21A68"/>
    <w:rsid w:val="00C23E69"/>
    <w:rsid w:val="00C23FAB"/>
    <w:rsid w:val="00C25CBC"/>
    <w:rsid w:val="00C25F45"/>
    <w:rsid w:val="00C26039"/>
    <w:rsid w:val="00C26129"/>
    <w:rsid w:val="00C272A6"/>
    <w:rsid w:val="00C33024"/>
    <w:rsid w:val="00C34A71"/>
    <w:rsid w:val="00C373A3"/>
    <w:rsid w:val="00C37479"/>
    <w:rsid w:val="00C422DA"/>
    <w:rsid w:val="00C45886"/>
    <w:rsid w:val="00C466A8"/>
    <w:rsid w:val="00C4698C"/>
    <w:rsid w:val="00C51280"/>
    <w:rsid w:val="00C56229"/>
    <w:rsid w:val="00C6156A"/>
    <w:rsid w:val="00C6174A"/>
    <w:rsid w:val="00C6264C"/>
    <w:rsid w:val="00C650AB"/>
    <w:rsid w:val="00C70721"/>
    <w:rsid w:val="00C7163A"/>
    <w:rsid w:val="00C72AE8"/>
    <w:rsid w:val="00C73642"/>
    <w:rsid w:val="00C73F76"/>
    <w:rsid w:val="00C80D80"/>
    <w:rsid w:val="00C815EE"/>
    <w:rsid w:val="00C85191"/>
    <w:rsid w:val="00C85B8B"/>
    <w:rsid w:val="00C868F4"/>
    <w:rsid w:val="00C8694A"/>
    <w:rsid w:val="00C94FA8"/>
    <w:rsid w:val="00C95F63"/>
    <w:rsid w:val="00C96239"/>
    <w:rsid w:val="00C96989"/>
    <w:rsid w:val="00C97D35"/>
    <w:rsid w:val="00CA079C"/>
    <w:rsid w:val="00CA119F"/>
    <w:rsid w:val="00CA38B4"/>
    <w:rsid w:val="00CA3A52"/>
    <w:rsid w:val="00CA3E3A"/>
    <w:rsid w:val="00CA7092"/>
    <w:rsid w:val="00CA7812"/>
    <w:rsid w:val="00CB0D17"/>
    <w:rsid w:val="00CB1020"/>
    <w:rsid w:val="00CB185A"/>
    <w:rsid w:val="00CB2F39"/>
    <w:rsid w:val="00CB3BA2"/>
    <w:rsid w:val="00CB777D"/>
    <w:rsid w:val="00CC044D"/>
    <w:rsid w:val="00CC301B"/>
    <w:rsid w:val="00CC3398"/>
    <w:rsid w:val="00CC3A50"/>
    <w:rsid w:val="00CC56A2"/>
    <w:rsid w:val="00CC6777"/>
    <w:rsid w:val="00CC684F"/>
    <w:rsid w:val="00CC75FE"/>
    <w:rsid w:val="00CD034B"/>
    <w:rsid w:val="00CD03EB"/>
    <w:rsid w:val="00CD4711"/>
    <w:rsid w:val="00CD4B6F"/>
    <w:rsid w:val="00CD4BD3"/>
    <w:rsid w:val="00CD5A2E"/>
    <w:rsid w:val="00CD5D3D"/>
    <w:rsid w:val="00CD6B79"/>
    <w:rsid w:val="00CD7327"/>
    <w:rsid w:val="00CD7612"/>
    <w:rsid w:val="00CE27C9"/>
    <w:rsid w:val="00CE3000"/>
    <w:rsid w:val="00CE66AB"/>
    <w:rsid w:val="00CE7556"/>
    <w:rsid w:val="00CF26D3"/>
    <w:rsid w:val="00CF3FBE"/>
    <w:rsid w:val="00CF49B3"/>
    <w:rsid w:val="00CF61B1"/>
    <w:rsid w:val="00D01061"/>
    <w:rsid w:val="00D017D4"/>
    <w:rsid w:val="00D01B58"/>
    <w:rsid w:val="00D01B8A"/>
    <w:rsid w:val="00D048E1"/>
    <w:rsid w:val="00D04A6C"/>
    <w:rsid w:val="00D05331"/>
    <w:rsid w:val="00D05E78"/>
    <w:rsid w:val="00D06B7E"/>
    <w:rsid w:val="00D076A3"/>
    <w:rsid w:val="00D10D59"/>
    <w:rsid w:val="00D14135"/>
    <w:rsid w:val="00D148C7"/>
    <w:rsid w:val="00D14DD1"/>
    <w:rsid w:val="00D14F7A"/>
    <w:rsid w:val="00D212B1"/>
    <w:rsid w:val="00D21F2E"/>
    <w:rsid w:val="00D24DC8"/>
    <w:rsid w:val="00D260D1"/>
    <w:rsid w:val="00D271E4"/>
    <w:rsid w:val="00D31F3A"/>
    <w:rsid w:val="00D344B0"/>
    <w:rsid w:val="00D34AAF"/>
    <w:rsid w:val="00D379D1"/>
    <w:rsid w:val="00D43569"/>
    <w:rsid w:val="00D439BC"/>
    <w:rsid w:val="00D4504D"/>
    <w:rsid w:val="00D45178"/>
    <w:rsid w:val="00D457DF"/>
    <w:rsid w:val="00D46E71"/>
    <w:rsid w:val="00D47BBE"/>
    <w:rsid w:val="00D54036"/>
    <w:rsid w:val="00D549A6"/>
    <w:rsid w:val="00D5640D"/>
    <w:rsid w:val="00D57720"/>
    <w:rsid w:val="00D578EA"/>
    <w:rsid w:val="00D60A66"/>
    <w:rsid w:val="00D61BEC"/>
    <w:rsid w:val="00D62B44"/>
    <w:rsid w:val="00D6383A"/>
    <w:rsid w:val="00D6445A"/>
    <w:rsid w:val="00D65062"/>
    <w:rsid w:val="00D65832"/>
    <w:rsid w:val="00D70524"/>
    <w:rsid w:val="00D70581"/>
    <w:rsid w:val="00D735CB"/>
    <w:rsid w:val="00D80898"/>
    <w:rsid w:val="00D8154D"/>
    <w:rsid w:val="00D86C8B"/>
    <w:rsid w:val="00D87889"/>
    <w:rsid w:val="00D90F89"/>
    <w:rsid w:val="00D94945"/>
    <w:rsid w:val="00D96286"/>
    <w:rsid w:val="00D96F39"/>
    <w:rsid w:val="00DA0245"/>
    <w:rsid w:val="00DA119E"/>
    <w:rsid w:val="00DA249C"/>
    <w:rsid w:val="00DA2884"/>
    <w:rsid w:val="00DA2EFC"/>
    <w:rsid w:val="00DA36AB"/>
    <w:rsid w:val="00DA3B30"/>
    <w:rsid w:val="00DA3B47"/>
    <w:rsid w:val="00DA73FD"/>
    <w:rsid w:val="00DB3436"/>
    <w:rsid w:val="00DB3C79"/>
    <w:rsid w:val="00DB3EE9"/>
    <w:rsid w:val="00DB4DB7"/>
    <w:rsid w:val="00DB540E"/>
    <w:rsid w:val="00DB60F5"/>
    <w:rsid w:val="00DB7519"/>
    <w:rsid w:val="00DB7986"/>
    <w:rsid w:val="00DC01B7"/>
    <w:rsid w:val="00DC0405"/>
    <w:rsid w:val="00DC0BD8"/>
    <w:rsid w:val="00DC28A2"/>
    <w:rsid w:val="00DC4052"/>
    <w:rsid w:val="00DD0817"/>
    <w:rsid w:val="00DD19CA"/>
    <w:rsid w:val="00DD3C11"/>
    <w:rsid w:val="00DD5453"/>
    <w:rsid w:val="00DD5D43"/>
    <w:rsid w:val="00DD5E63"/>
    <w:rsid w:val="00DD6732"/>
    <w:rsid w:val="00DD7193"/>
    <w:rsid w:val="00DE04C1"/>
    <w:rsid w:val="00DE6446"/>
    <w:rsid w:val="00DE7E3E"/>
    <w:rsid w:val="00DE7E7F"/>
    <w:rsid w:val="00DE7F04"/>
    <w:rsid w:val="00DF3288"/>
    <w:rsid w:val="00DF4477"/>
    <w:rsid w:val="00DF477D"/>
    <w:rsid w:val="00DF5668"/>
    <w:rsid w:val="00E027C6"/>
    <w:rsid w:val="00E113C0"/>
    <w:rsid w:val="00E11DFE"/>
    <w:rsid w:val="00E15EC1"/>
    <w:rsid w:val="00E209E5"/>
    <w:rsid w:val="00E241BB"/>
    <w:rsid w:val="00E256C6"/>
    <w:rsid w:val="00E263E2"/>
    <w:rsid w:val="00E32306"/>
    <w:rsid w:val="00E32E71"/>
    <w:rsid w:val="00E350CE"/>
    <w:rsid w:val="00E402BB"/>
    <w:rsid w:val="00E4386E"/>
    <w:rsid w:val="00E4694A"/>
    <w:rsid w:val="00E5093D"/>
    <w:rsid w:val="00E50D0E"/>
    <w:rsid w:val="00E510D6"/>
    <w:rsid w:val="00E56839"/>
    <w:rsid w:val="00E568E1"/>
    <w:rsid w:val="00E604E3"/>
    <w:rsid w:val="00E61A64"/>
    <w:rsid w:val="00E632AB"/>
    <w:rsid w:val="00E6333F"/>
    <w:rsid w:val="00E6684F"/>
    <w:rsid w:val="00E71927"/>
    <w:rsid w:val="00E75603"/>
    <w:rsid w:val="00E76411"/>
    <w:rsid w:val="00E76ABC"/>
    <w:rsid w:val="00E7767A"/>
    <w:rsid w:val="00E80174"/>
    <w:rsid w:val="00E8047F"/>
    <w:rsid w:val="00E82457"/>
    <w:rsid w:val="00E838D1"/>
    <w:rsid w:val="00E859F5"/>
    <w:rsid w:val="00E85CBC"/>
    <w:rsid w:val="00E8717C"/>
    <w:rsid w:val="00E873B2"/>
    <w:rsid w:val="00E87F0E"/>
    <w:rsid w:val="00E91428"/>
    <w:rsid w:val="00E9147D"/>
    <w:rsid w:val="00E93BC4"/>
    <w:rsid w:val="00E9481A"/>
    <w:rsid w:val="00E94834"/>
    <w:rsid w:val="00E9489E"/>
    <w:rsid w:val="00E95438"/>
    <w:rsid w:val="00E95A92"/>
    <w:rsid w:val="00EA0E13"/>
    <w:rsid w:val="00EA37F0"/>
    <w:rsid w:val="00EA3DF8"/>
    <w:rsid w:val="00EA4AF1"/>
    <w:rsid w:val="00EB0BEF"/>
    <w:rsid w:val="00EB1F11"/>
    <w:rsid w:val="00EB34FF"/>
    <w:rsid w:val="00EB504A"/>
    <w:rsid w:val="00EB5069"/>
    <w:rsid w:val="00EB5238"/>
    <w:rsid w:val="00EB6DE2"/>
    <w:rsid w:val="00EB7900"/>
    <w:rsid w:val="00EC00AB"/>
    <w:rsid w:val="00EC07E1"/>
    <w:rsid w:val="00EC2DA6"/>
    <w:rsid w:val="00EC4B9F"/>
    <w:rsid w:val="00EC4E83"/>
    <w:rsid w:val="00EC6238"/>
    <w:rsid w:val="00ED0659"/>
    <w:rsid w:val="00ED0672"/>
    <w:rsid w:val="00ED0C42"/>
    <w:rsid w:val="00ED3217"/>
    <w:rsid w:val="00ED55F3"/>
    <w:rsid w:val="00ED6406"/>
    <w:rsid w:val="00ED6FAA"/>
    <w:rsid w:val="00EE6E2F"/>
    <w:rsid w:val="00EF360A"/>
    <w:rsid w:val="00EF3BDE"/>
    <w:rsid w:val="00EF4522"/>
    <w:rsid w:val="00F0372D"/>
    <w:rsid w:val="00F042D6"/>
    <w:rsid w:val="00F11275"/>
    <w:rsid w:val="00F1140E"/>
    <w:rsid w:val="00F11AAA"/>
    <w:rsid w:val="00F12C7E"/>
    <w:rsid w:val="00F133DB"/>
    <w:rsid w:val="00F17BA7"/>
    <w:rsid w:val="00F17E17"/>
    <w:rsid w:val="00F20CAE"/>
    <w:rsid w:val="00F22A59"/>
    <w:rsid w:val="00F24C69"/>
    <w:rsid w:val="00F25632"/>
    <w:rsid w:val="00F26E96"/>
    <w:rsid w:val="00F3494F"/>
    <w:rsid w:val="00F35204"/>
    <w:rsid w:val="00F37FB0"/>
    <w:rsid w:val="00F40621"/>
    <w:rsid w:val="00F41626"/>
    <w:rsid w:val="00F42333"/>
    <w:rsid w:val="00F42A7C"/>
    <w:rsid w:val="00F42E33"/>
    <w:rsid w:val="00F4443C"/>
    <w:rsid w:val="00F45727"/>
    <w:rsid w:val="00F508FD"/>
    <w:rsid w:val="00F60300"/>
    <w:rsid w:val="00F61A64"/>
    <w:rsid w:val="00F6200D"/>
    <w:rsid w:val="00F640B1"/>
    <w:rsid w:val="00F70D4D"/>
    <w:rsid w:val="00F71801"/>
    <w:rsid w:val="00F7264E"/>
    <w:rsid w:val="00F73DE9"/>
    <w:rsid w:val="00F74B19"/>
    <w:rsid w:val="00F75F00"/>
    <w:rsid w:val="00F80830"/>
    <w:rsid w:val="00F8232C"/>
    <w:rsid w:val="00F835CF"/>
    <w:rsid w:val="00F83BA7"/>
    <w:rsid w:val="00F8463B"/>
    <w:rsid w:val="00F857C1"/>
    <w:rsid w:val="00F857F1"/>
    <w:rsid w:val="00F86083"/>
    <w:rsid w:val="00F87ADB"/>
    <w:rsid w:val="00F87BAE"/>
    <w:rsid w:val="00F908E2"/>
    <w:rsid w:val="00F9117F"/>
    <w:rsid w:val="00F91F24"/>
    <w:rsid w:val="00F9633D"/>
    <w:rsid w:val="00F96E00"/>
    <w:rsid w:val="00F978FE"/>
    <w:rsid w:val="00FA02DB"/>
    <w:rsid w:val="00FA4110"/>
    <w:rsid w:val="00FA43A9"/>
    <w:rsid w:val="00FA4D45"/>
    <w:rsid w:val="00FA5B19"/>
    <w:rsid w:val="00FA5C18"/>
    <w:rsid w:val="00FB13B3"/>
    <w:rsid w:val="00FB175C"/>
    <w:rsid w:val="00FB25C5"/>
    <w:rsid w:val="00FB3103"/>
    <w:rsid w:val="00FB47D7"/>
    <w:rsid w:val="00FB570A"/>
    <w:rsid w:val="00FC0531"/>
    <w:rsid w:val="00FC3785"/>
    <w:rsid w:val="00FC4F97"/>
    <w:rsid w:val="00FC68C3"/>
    <w:rsid w:val="00FD2285"/>
    <w:rsid w:val="00FD3C95"/>
    <w:rsid w:val="00FD4F36"/>
    <w:rsid w:val="00FD52D1"/>
    <w:rsid w:val="00FD5468"/>
    <w:rsid w:val="00FD5770"/>
    <w:rsid w:val="00FE23B4"/>
    <w:rsid w:val="00FE297B"/>
    <w:rsid w:val="00FE436C"/>
    <w:rsid w:val="00FF04C8"/>
    <w:rsid w:val="00FF0FD2"/>
    <w:rsid w:val="00FF1276"/>
    <w:rsid w:val="00FF285E"/>
    <w:rsid w:val="00FF6A74"/>
    <w:rsid w:val="00FF75FF"/>
    <w:rsid w:val="0189490D"/>
    <w:rsid w:val="023A4EE8"/>
    <w:rsid w:val="02B549BA"/>
    <w:rsid w:val="02EF5762"/>
    <w:rsid w:val="03E44007"/>
    <w:rsid w:val="04045903"/>
    <w:rsid w:val="04593ED7"/>
    <w:rsid w:val="04A158D4"/>
    <w:rsid w:val="052E5871"/>
    <w:rsid w:val="059526A5"/>
    <w:rsid w:val="05CD131D"/>
    <w:rsid w:val="06444B79"/>
    <w:rsid w:val="06692EC2"/>
    <w:rsid w:val="06D921BA"/>
    <w:rsid w:val="06F25FB9"/>
    <w:rsid w:val="071F3FF8"/>
    <w:rsid w:val="07443208"/>
    <w:rsid w:val="0774377B"/>
    <w:rsid w:val="08480002"/>
    <w:rsid w:val="085B3DB3"/>
    <w:rsid w:val="08C75A28"/>
    <w:rsid w:val="090B1C12"/>
    <w:rsid w:val="09471442"/>
    <w:rsid w:val="09756AB1"/>
    <w:rsid w:val="0A610BA2"/>
    <w:rsid w:val="0A6659E5"/>
    <w:rsid w:val="0A7D05F8"/>
    <w:rsid w:val="0B2E6BE3"/>
    <w:rsid w:val="0B3F3B67"/>
    <w:rsid w:val="0B92140A"/>
    <w:rsid w:val="0BBD2434"/>
    <w:rsid w:val="0BE66D2B"/>
    <w:rsid w:val="0BF45F23"/>
    <w:rsid w:val="0C5F2300"/>
    <w:rsid w:val="0C647A3B"/>
    <w:rsid w:val="0C932E72"/>
    <w:rsid w:val="0CF331C9"/>
    <w:rsid w:val="0D0D5BDE"/>
    <w:rsid w:val="0DBF1554"/>
    <w:rsid w:val="0E287A4A"/>
    <w:rsid w:val="0E4E1FC6"/>
    <w:rsid w:val="0EB8205E"/>
    <w:rsid w:val="0ECC5BB2"/>
    <w:rsid w:val="0EF01280"/>
    <w:rsid w:val="0EFE599D"/>
    <w:rsid w:val="0FEA54EA"/>
    <w:rsid w:val="0FEE5E2C"/>
    <w:rsid w:val="108E57BE"/>
    <w:rsid w:val="110D79DD"/>
    <w:rsid w:val="11423D0A"/>
    <w:rsid w:val="11820567"/>
    <w:rsid w:val="11C5731A"/>
    <w:rsid w:val="11C90650"/>
    <w:rsid w:val="12E76D6E"/>
    <w:rsid w:val="12F47048"/>
    <w:rsid w:val="145F2090"/>
    <w:rsid w:val="149D56C6"/>
    <w:rsid w:val="14B26B47"/>
    <w:rsid w:val="16827888"/>
    <w:rsid w:val="171F3DC2"/>
    <w:rsid w:val="1722335B"/>
    <w:rsid w:val="173E1D4B"/>
    <w:rsid w:val="174B2B12"/>
    <w:rsid w:val="178775DC"/>
    <w:rsid w:val="178F0BD8"/>
    <w:rsid w:val="17963DD6"/>
    <w:rsid w:val="17A16D05"/>
    <w:rsid w:val="18033730"/>
    <w:rsid w:val="18491F1B"/>
    <w:rsid w:val="188D4F7A"/>
    <w:rsid w:val="18B35C28"/>
    <w:rsid w:val="19C630ED"/>
    <w:rsid w:val="19DB18FE"/>
    <w:rsid w:val="1A125C5A"/>
    <w:rsid w:val="1A565D8A"/>
    <w:rsid w:val="1A86037C"/>
    <w:rsid w:val="1A9770A6"/>
    <w:rsid w:val="1ABA053C"/>
    <w:rsid w:val="1AC6550E"/>
    <w:rsid w:val="1AF70673"/>
    <w:rsid w:val="1AFB769E"/>
    <w:rsid w:val="1B04694D"/>
    <w:rsid w:val="1B1E13A4"/>
    <w:rsid w:val="1B73014B"/>
    <w:rsid w:val="1C224837"/>
    <w:rsid w:val="1CF37F1E"/>
    <w:rsid w:val="1D5559B4"/>
    <w:rsid w:val="1DA2552F"/>
    <w:rsid w:val="1DB13337"/>
    <w:rsid w:val="1DBD2B2D"/>
    <w:rsid w:val="1E0850F8"/>
    <w:rsid w:val="1E387DCD"/>
    <w:rsid w:val="1F175D86"/>
    <w:rsid w:val="1F6F7A22"/>
    <w:rsid w:val="1FD648F6"/>
    <w:rsid w:val="20052AA1"/>
    <w:rsid w:val="2133612B"/>
    <w:rsid w:val="217B4A99"/>
    <w:rsid w:val="22335185"/>
    <w:rsid w:val="22385B99"/>
    <w:rsid w:val="22586DF5"/>
    <w:rsid w:val="2261210F"/>
    <w:rsid w:val="22C81F36"/>
    <w:rsid w:val="231F63EE"/>
    <w:rsid w:val="23277592"/>
    <w:rsid w:val="23E407B9"/>
    <w:rsid w:val="24290295"/>
    <w:rsid w:val="244E1971"/>
    <w:rsid w:val="251B2BF5"/>
    <w:rsid w:val="253C4A71"/>
    <w:rsid w:val="2556094D"/>
    <w:rsid w:val="25825548"/>
    <w:rsid w:val="26965BE5"/>
    <w:rsid w:val="26CF7641"/>
    <w:rsid w:val="26E929B0"/>
    <w:rsid w:val="27E622B9"/>
    <w:rsid w:val="280F6358"/>
    <w:rsid w:val="2823687C"/>
    <w:rsid w:val="287A1BAB"/>
    <w:rsid w:val="2895715D"/>
    <w:rsid w:val="289801CB"/>
    <w:rsid w:val="28FB7B25"/>
    <w:rsid w:val="295D6810"/>
    <w:rsid w:val="29763310"/>
    <w:rsid w:val="29844183"/>
    <w:rsid w:val="29B14C0C"/>
    <w:rsid w:val="2A174707"/>
    <w:rsid w:val="2A3675C6"/>
    <w:rsid w:val="2AD85C54"/>
    <w:rsid w:val="2B2C1B81"/>
    <w:rsid w:val="2B490F99"/>
    <w:rsid w:val="2B4F407E"/>
    <w:rsid w:val="2B8742F0"/>
    <w:rsid w:val="2C2B1591"/>
    <w:rsid w:val="2C80451A"/>
    <w:rsid w:val="2CD43A9E"/>
    <w:rsid w:val="2CE4511D"/>
    <w:rsid w:val="2D032492"/>
    <w:rsid w:val="2D1F46E2"/>
    <w:rsid w:val="2DEB14C6"/>
    <w:rsid w:val="2DFB5540"/>
    <w:rsid w:val="2E26598C"/>
    <w:rsid w:val="2E30352F"/>
    <w:rsid w:val="2ED71745"/>
    <w:rsid w:val="2ED83C04"/>
    <w:rsid w:val="2F2723FF"/>
    <w:rsid w:val="2F811DA2"/>
    <w:rsid w:val="2FFB25C5"/>
    <w:rsid w:val="30001C0A"/>
    <w:rsid w:val="303D2CC1"/>
    <w:rsid w:val="303E4E2D"/>
    <w:rsid w:val="3067798D"/>
    <w:rsid w:val="30B410CD"/>
    <w:rsid w:val="30E77FED"/>
    <w:rsid w:val="31474195"/>
    <w:rsid w:val="31ED56A0"/>
    <w:rsid w:val="32264E7F"/>
    <w:rsid w:val="325F3F6B"/>
    <w:rsid w:val="329C4B8B"/>
    <w:rsid w:val="33592622"/>
    <w:rsid w:val="3391158F"/>
    <w:rsid w:val="33B54410"/>
    <w:rsid w:val="33E613F7"/>
    <w:rsid w:val="34316A8E"/>
    <w:rsid w:val="344A50C2"/>
    <w:rsid w:val="346F6F23"/>
    <w:rsid w:val="34B416ED"/>
    <w:rsid w:val="350C751E"/>
    <w:rsid w:val="353144CB"/>
    <w:rsid w:val="357A6227"/>
    <w:rsid w:val="358E5CA7"/>
    <w:rsid w:val="35A07518"/>
    <w:rsid w:val="36116125"/>
    <w:rsid w:val="366E2EA8"/>
    <w:rsid w:val="37B75E14"/>
    <w:rsid w:val="380137A5"/>
    <w:rsid w:val="38524FFB"/>
    <w:rsid w:val="38702BF4"/>
    <w:rsid w:val="38B17CCE"/>
    <w:rsid w:val="38FA49EB"/>
    <w:rsid w:val="39243B3B"/>
    <w:rsid w:val="39A433D9"/>
    <w:rsid w:val="3AA966EE"/>
    <w:rsid w:val="3AC554B1"/>
    <w:rsid w:val="3AE8709F"/>
    <w:rsid w:val="3AEB58D1"/>
    <w:rsid w:val="3B1C5AC3"/>
    <w:rsid w:val="3B3D7089"/>
    <w:rsid w:val="3B587535"/>
    <w:rsid w:val="3B9E5858"/>
    <w:rsid w:val="3BFC281C"/>
    <w:rsid w:val="3C1D5373"/>
    <w:rsid w:val="3C303E13"/>
    <w:rsid w:val="3C36605F"/>
    <w:rsid w:val="3C3E105D"/>
    <w:rsid w:val="3C430A0F"/>
    <w:rsid w:val="3CDE36E0"/>
    <w:rsid w:val="3DD21067"/>
    <w:rsid w:val="3E9C12DB"/>
    <w:rsid w:val="3F5624AB"/>
    <w:rsid w:val="3F9B0AC0"/>
    <w:rsid w:val="3FBB3E98"/>
    <w:rsid w:val="40B42CEB"/>
    <w:rsid w:val="414922E1"/>
    <w:rsid w:val="4211083B"/>
    <w:rsid w:val="421B4C2D"/>
    <w:rsid w:val="42D176B7"/>
    <w:rsid w:val="43513E94"/>
    <w:rsid w:val="437D1054"/>
    <w:rsid w:val="43D674C5"/>
    <w:rsid w:val="43F66208"/>
    <w:rsid w:val="44476A64"/>
    <w:rsid w:val="4449553C"/>
    <w:rsid w:val="44AC1B6F"/>
    <w:rsid w:val="44E25554"/>
    <w:rsid w:val="44E727FB"/>
    <w:rsid w:val="45561110"/>
    <w:rsid w:val="45655EE4"/>
    <w:rsid w:val="45A766FD"/>
    <w:rsid w:val="46367E4A"/>
    <w:rsid w:val="473006B8"/>
    <w:rsid w:val="47357DD3"/>
    <w:rsid w:val="478028AE"/>
    <w:rsid w:val="47D171C6"/>
    <w:rsid w:val="47DF6AAC"/>
    <w:rsid w:val="47F51B56"/>
    <w:rsid w:val="484552AF"/>
    <w:rsid w:val="485F4731"/>
    <w:rsid w:val="489C44D5"/>
    <w:rsid w:val="489E0950"/>
    <w:rsid w:val="48B8749B"/>
    <w:rsid w:val="48EB6B00"/>
    <w:rsid w:val="495F078E"/>
    <w:rsid w:val="49D86A3A"/>
    <w:rsid w:val="49E311FD"/>
    <w:rsid w:val="49E4763C"/>
    <w:rsid w:val="4A4B5A71"/>
    <w:rsid w:val="4A6A7252"/>
    <w:rsid w:val="4AE47B2C"/>
    <w:rsid w:val="4BA00297"/>
    <w:rsid w:val="4BAC5959"/>
    <w:rsid w:val="4BCA3F94"/>
    <w:rsid w:val="4BE72F27"/>
    <w:rsid w:val="4BF21A75"/>
    <w:rsid w:val="4C4415DC"/>
    <w:rsid w:val="4C4E6EF6"/>
    <w:rsid w:val="4DB315B6"/>
    <w:rsid w:val="4DCE6238"/>
    <w:rsid w:val="4E0A0B68"/>
    <w:rsid w:val="4E1E07AE"/>
    <w:rsid w:val="4E7054D4"/>
    <w:rsid w:val="4E8C7034"/>
    <w:rsid w:val="4F3103DF"/>
    <w:rsid w:val="4F323C83"/>
    <w:rsid w:val="4F7B1FD0"/>
    <w:rsid w:val="4F7F215C"/>
    <w:rsid w:val="4F9B03E6"/>
    <w:rsid w:val="4FF80BFB"/>
    <w:rsid w:val="50104C69"/>
    <w:rsid w:val="50AE289B"/>
    <w:rsid w:val="51106AAB"/>
    <w:rsid w:val="519A6A1D"/>
    <w:rsid w:val="51CB517E"/>
    <w:rsid w:val="52C00858"/>
    <w:rsid w:val="52C2248F"/>
    <w:rsid w:val="530C4D26"/>
    <w:rsid w:val="53C5776A"/>
    <w:rsid w:val="540C3F04"/>
    <w:rsid w:val="54574766"/>
    <w:rsid w:val="545818F4"/>
    <w:rsid w:val="54F97095"/>
    <w:rsid w:val="55246E25"/>
    <w:rsid w:val="553560A7"/>
    <w:rsid w:val="55415924"/>
    <w:rsid w:val="55724889"/>
    <w:rsid w:val="55AD1DCD"/>
    <w:rsid w:val="56093471"/>
    <w:rsid w:val="562D7609"/>
    <w:rsid w:val="565D0E04"/>
    <w:rsid w:val="56BA7016"/>
    <w:rsid w:val="5747116E"/>
    <w:rsid w:val="57553BEB"/>
    <w:rsid w:val="575E7E48"/>
    <w:rsid w:val="57A92AD0"/>
    <w:rsid w:val="57BA145F"/>
    <w:rsid w:val="57E70888"/>
    <w:rsid w:val="57F4093D"/>
    <w:rsid w:val="58A90B95"/>
    <w:rsid w:val="58AF0EB0"/>
    <w:rsid w:val="58C93A11"/>
    <w:rsid w:val="58EB2F8A"/>
    <w:rsid w:val="59136284"/>
    <w:rsid w:val="5A090F02"/>
    <w:rsid w:val="5AAD0483"/>
    <w:rsid w:val="5B311FFA"/>
    <w:rsid w:val="5BE76684"/>
    <w:rsid w:val="5C09228D"/>
    <w:rsid w:val="5C4924A6"/>
    <w:rsid w:val="5C607316"/>
    <w:rsid w:val="5CEE0813"/>
    <w:rsid w:val="5D26574A"/>
    <w:rsid w:val="5D397033"/>
    <w:rsid w:val="5DDB4AD6"/>
    <w:rsid w:val="5E0141B5"/>
    <w:rsid w:val="5E657CFE"/>
    <w:rsid w:val="5E976AE1"/>
    <w:rsid w:val="5F695437"/>
    <w:rsid w:val="6013499C"/>
    <w:rsid w:val="603A5FA7"/>
    <w:rsid w:val="60622D78"/>
    <w:rsid w:val="60D218DD"/>
    <w:rsid w:val="60FA4BF8"/>
    <w:rsid w:val="613F3073"/>
    <w:rsid w:val="618162DB"/>
    <w:rsid w:val="622C18D2"/>
    <w:rsid w:val="622D186B"/>
    <w:rsid w:val="626258E4"/>
    <w:rsid w:val="64213BDD"/>
    <w:rsid w:val="64346A01"/>
    <w:rsid w:val="645F471C"/>
    <w:rsid w:val="64881420"/>
    <w:rsid w:val="64C1215F"/>
    <w:rsid w:val="65046CF4"/>
    <w:rsid w:val="66A26523"/>
    <w:rsid w:val="66CE1E41"/>
    <w:rsid w:val="66DB2370"/>
    <w:rsid w:val="67417528"/>
    <w:rsid w:val="676B7E58"/>
    <w:rsid w:val="679B2C40"/>
    <w:rsid w:val="67F16520"/>
    <w:rsid w:val="683528BC"/>
    <w:rsid w:val="691965E3"/>
    <w:rsid w:val="694F68DA"/>
    <w:rsid w:val="6993456B"/>
    <w:rsid w:val="69937234"/>
    <w:rsid w:val="69D876EE"/>
    <w:rsid w:val="6A38733B"/>
    <w:rsid w:val="6A3D4E82"/>
    <w:rsid w:val="6A7F0C7E"/>
    <w:rsid w:val="6B6D589A"/>
    <w:rsid w:val="6B723501"/>
    <w:rsid w:val="6D231E9C"/>
    <w:rsid w:val="6D3A47BC"/>
    <w:rsid w:val="6D8C5F2C"/>
    <w:rsid w:val="6DAA0BFC"/>
    <w:rsid w:val="6DB74AA1"/>
    <w:rsid w:val="6E817E85"/>
    <w:rsid w:val="6EC2223F"/>
    <w:rsid w:val="6F085543"/>
    <w:rsid w:val="6FD12E23"/>
    <w:rsid w:val="6FE94145"/>
    <w:rsid w:val="701809B3"/>
    <w:rsid w:val="702920CE"/>
    <w:rsid w:val="70842CFA"/>
    <w:rsid w:val="71443CD6"/>
    <w:rsid w:val="71591785"/>
    <w:rsid w:val="719707D5"/>
    <w:rsid w:val="7335170E"/>
    <w:rsid w:val="73593D3E"/>
    <w:rsid w:val="73967B38"/>
    <w:rsid w:val="75072A87"/>
    <w:rsid w:val="75F00DFC"/>
    <w:rsid w:val="761A1C62"/>
    <w:rsid w:val="77047100"/>
    <w:rsid w:val="771167BE"/>
    <w:rsid w:val="77B247C0"/>
    <w:rsid w:val="77BB7D8E"/>
    <w:rsid w:val="781A4CC3"/>
    <w:rsid w:val="78A76067"/>
    <w:rsid w:val="791C0C85"/>
    <w:rsid w:val="791D2D75"/>
    <w:rsid w:val="794A3A1D"/>
    <w:rsid w:val="7A893449"/>
    <w:rsid w:val="7AB07B50"/>
    <w:rsid w:val="7B173BDB"/>
    <w:rsid w:val="7B692672"/>
    <w:rsid w:val="7B706597"/>
    <w:rsid w:val="7BA3346A"/>
    <w:rsid w:val="7BF81460"/>
    <w:rsid w:val="7C0B1097"/>
    <w:rsid w:val="7D143B1A"/>
    <w:rsid w:val="7D1C6005"/>
    <w:rsid w:val="7DCE172C"/>
    <w:rsid w:val="7E235190"/>
    <w:rsid w:val="7E2D4FC5"/>
    <w:rsid w:val="7E993326"/>
    <w:rsid w:val="7ED756F6"/>
    <w:rsid w:val="7EFA085D"/>
    <w:rsid w:val="7F1422D8"/>
    <w:rsid w:val="7F1D52F2"/>
    <w:rsid w:val="7F2B713B"/>
    <w:rsid w:val="7F3D4EC7"/>
    <w:rsid w:val="7F750ACB"/>
    <w:rsid w:val="7FEF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4:docId w14:val="08D3CF79"/>
  <w15:docId w15:val="{C37A3C56-7273-4635-A891-EDDA165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sz w:val="28"/>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
    <w:qFormat/>
    <w:pPr>
      <w:keepNext/>
      <w:keepLines/>
      <w:spacing w:before="280" w:after="290" w:line="372" w:lineRule="auto"/>
      <w:outlineLvl w:val="4"/>
    </w:pPr>
    <w:rPr>
      <w:b/>
      <w:sz w:val="28"/>
    </w:rPr>
  </w:style>
  <w:style w:type="paragraph" w:styleId="6">
    <w:name w:val="heading 6"/>
    <w:basedOn w:val="a"/>
    <w:next w:val="a"/>
    <w:qFormat/>
    <w:pPr>
      <w:keepNext/>
      <w:keepLines/>
      <w:spacing w:before="240" w:after="64" w:line="317" w:lineRule="auto"/>
      <w:outlineLvl w:val="5"/>
    </w:pPr>
    <w:rPr>
      <w:rFonts w:ascii="Arial" w:eastAsia="黑体" w:hAnsi="Arial"/>
      <w:b/>
      <w:sz w:val="24"/>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annotation subject"/>
    <w:basedOn w:val="a4"/>
    <w:next w:val="a4"/>
    <w:qFormat/>
    <w:rPr>
      <w:b/>
    </w:rPr>
  </w:style>
  <w:style w:type="paragraph" w:styleId="a4">
    <w:name w:val="annotation text"/>
    <w:basedOn w:val="a"/>
    <w:qFormat/>
    <w:pPr>
      <w:jc w:val="left"/>
    </w:pPr>
  </w:style>
  <w:style w:type="paragraph" w:styleId="TOC7">
    <w:name w:val="toc 7"/>
    <w:basedOn w:val="a"/>
    <w:next w:val="a"/>
    <w:qFormat/>
    <w:pPr>
      <w:ind w:leftChars="1200" w:left="2520"/>
    </w:pPr>
  </w:style>
  <w:style w:type="paragraph" w:styleId="a5">
    <w:name w:val="Body Text First Indent"/>
    <w:basedOn w:val="a6"/>
    <w:qFormat/>
    <w:pPr>
      <w:ind w:firstLineChars="100" w:firstLine="420"/>
    </w:pPr>
  </w:style>
  <w:style w:type="paragraph" w:styleId="a6">
    <w:name w:val="Body Text"/>
    <w:basedOn w:val="a"/>
    <w:qFormat/>
    <w:pPr>
      <w:spacing w:after="120"/>
    </w:pPr>
  </w:style>
  <w:style w:type="paragraph" w:styleId="20">
    <w:name w:val="List Number 2"/>
    <w:basedOn w:val="a"/>
    <w:qFormat/>
    <w:pPr>
      <w:tabs>
        <w:tab w:val="left" w:pos="780"/>
      </w:tabs>
      <w:ind w:left="780" w:hanging="360"/>
    </w:pPr>
  </w:style>
  <w:style w:type="paragraph" w:styleId="a7">
    <w:name w:val="table of authorities"/>
    <w:basedOn w:val="a"/>
    <w:next w:val="a"/>
    <w:qFormat/>
    <w:pPr>
      <w:ind w:leftChars="200" w:left="420"/>
    </w:pPr>
  </w:style>
  <w:style w:type="paragraph" w:styleId="a8">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9">
    <w:name w:val="Note Heading"/>
    <w:basedOn w:val="a"/>
    <w:next w:val="a"/>
    <w:qFormat/>
    <w:pPr>
      <w:jc w:val="center"/>
    </w:pPr>
  </w:style>
  <w:style w:type="paragraph" w:styleId="40">
    <w:name w:val="List Bullet 4"/>
    <w:basedOn w:val="a"/>
    <w:qFormat/>
    <w:pPr>
      <w:tabs>
        <w:tab w:val="left" w:pos="1620"/>
      </w:tabs>
      <w:ind w:left="1620" w:hanging="360"/>
    </w:pPr>
  </w:style>
  <w:style w:type="paragraph" w:styleId="80">
    <w:name w:val="index 8"/>
    <w:basedOn w:val="a"/>
    <w:next w:val="a"/>
    <w:qFormat/>
    <w:pPr>
      <w:ind w:leftChars="1400" w:left="1400"/>
    </w:pPr>
  </w:style>
  <w:style w:type="paragraph" w:styleId="aa">
    <w:name w:val="E-mail Signature"/>
    <w:basedOn w:val="a"/>
    <w:qFormat/>
  </w:style>
  <w:style w:type="paragraph" w:styleId="ab">
    <w:name w:val="List Number"/>
    <w:basedOn w:val="a"/>
    <w:qFormat/>
    <w:pPr>
      <w:tabs>
        <w:tab w:val="left" w:pos="360"/>
      </w:tabs>
      <w:ind w:left="360" w:hanging="360"/>
    </w:pPr>
  </w:style>
  <w:style w:type="paragraph" w:styleId="ac">
    <w:name w:val="Normal Indent"/>
    <w:basedOn w:val="a"/>
    <w:qFormat/>
    <w:pPr>
      <w:ind w:firstLineChars="200" w:firstLine="420"/>
    </w:pPr>
  </w:style>
  <w:style w:type="paragraph" w:styleId="ad">
    <w:name w:val="caption"/>
    <w:basedOn w:val="a"/>
    <w:next w:val="a"/>
    <w:qFormat/>
    <w:rPr>
      <w:rFonts w:ascii="Arial" w:eastAsia="黑体" w:hAnsi="Arial"/>
      <w:sz w:val="20"/>
    </w:rPr>
  </w:style>
  <w:style w:type="paragraph" w:styleId="50">
    <w:name w:val="index 5"/>
    <w:basedOn w:val="a"/>
    <w:next w:val="a"/>
    <w:qFormat/>
    <w:pPr>
      <w:ind w:leftChars="800" w:left="800"/>
    </w:pPr>
  </w:style>
  <w:style w:type="paragraph" w:styleId="ae">
    <w:name w:val="List Bullet"/>
    <w:basedOn w:val="a"/>
    <w:qFormat/>
    <w:pPr>
      <w:tabs>
        <w:tab w:val="left" w:pos="360"/>
      </w:tabs>
      <w:ind w:left="360" w:hanging="360"/>
    </w:pPr>
  </w:style>
  <w:style w:type="paragraph" w:styleId="af">
    <w:name w:val="envelope address"/>
    <w:basedOn w:val="a"/>
    <w:qFormat/>
    <w:pPr>
      <w:snapToGrid w:val="0"/>
      <w:ind w:leftChars="1400" w:left="100"/>
    </w:pPr>
    <w:rPr>
      <w:rFonts w:ascii="Arial" w:hAnsi="Arial"/>
      <w:sz w:val="24"/>
    </w:rPr>
  </w:style>
  <w:style w:type="paragraph" w:styleId="af0">
    <w:name w:val="Document Map"/>
    <w:basedOn w:val="a"/>
    <w:qFormat/>
    <w:pPr>
      <w:shd w:val="clear" w:color="auto" w:fill="000080"/>
    </w:pPr>
  </w:style>
  <w:style w:type="paragraph" w:styleId="af1">
    <w:name w:val="toa heading"/>
    <w:basedOn w:val="a"/>
    <w:next w:val="a"/>
    <w:qFormat/>
    <w:pPr>
      <w:spacing w:before="120"/>
    </w:pPr>
    <w:rPr>
      <w:rFonts w:ascii="Arial" w:hAnsi="Arial"/>
      <w:sz w:val="24"/>
    </w:rPr>
  </w:style>
  <w:style w:type="paragraph" w:styleId="60">
    <w:name w:val="index 6"/>
    <w:basedOn w:val="a"/>
    <w:next w:val="a"/>
    <w:qFormat/>
    <w:pPr>
      <w:ind w:leftChars="1000" w:left="1000"/>
    </w:pPr>
  </w:style>
  <w:style w:type="paragraph" w:styleId="af2">
    <w:name w:val="Salutation"/>
    <w:basedOn w:val="a"/>
    <w:next w:val="a"/>
    <w:qFormat/>
  </w:style>
  <w:style w:type="paragraph" w:styleId="31">
    <w:name w:val="Body Text 3"/>
    <w:basedOn w:val="a"/>
    <w:qFormat/>
    <w:pPr>
      <w:spacing w:after="120"/>
    </w:pPr>
    <w:rPr>
      <w:sz w:val="16"/>
    </w:rPr>
  </w:style>
  <w:style w:type="paragraph" w:styleId="af3">
    <w:name w:val="Closing"/>
    <w:basedOn w:val="a"/>
    <w:qFormat/>
    <w:pPr>
      <w:ind w:leftChars="2100" w:left="100"/>
    </w:pPr>
  </w:style>
  <w:style w:type="paragraph" w:styleId="32">
    <w:name w:val="List Bullet 3"/>
    <w:basedOn w:val="a"/>
    <w:qFormat/>
    <w:pPr>
      <w:tabs>
        <w:tab w:val="left" w:pos="1200"/>
      </w:tabs>
      <w:ind w:left="1200" w:hanging="360"/>
    </w:pPr>
  </w:style>
  <w:style w:type="paragraph" w:styleId="af4">
    <w:name w:val="Body Text Indent"/>
    <w:basedOn w:val="a"/>
    <w:qFormat/>
    <w:pPr>
      <w:spacing w:after="120"/>
      <w:ind w:leftChars="200" w:left="420"/>
    </w:pPr>
  </w:style>
  <w:style w:type="paragraph" w:styleId="33">
    <w:name w:val="List Number 3"/>
    <w:basedOn w:val="a"/>
    <w:qFormat/>
    <w:pPr>
      <w:tabs>
        <w:tab w:val="left" w:pos="1200"/>
      </w:tabs>
      <w:ind w:left="1200" w:hanging="360"/>
    </w:pPr>
  </w:style>
  <w:style w:type="paragraph" w:styleId="21">
    <w:name w:val="List 2"/>
    <w:basedOn w:val="a"/>
    <w:qFormat/>
    <w:pPr>
      <w:ind w:leftChars="200" w:left="100" w:hangingChars="200" w:hanging="200"/>
    </w:pPr>
  </w:style>
  <w:style w:type="paragraph" w:styleId="af5">
    <w:name w:val="List Continue"/>
    <w:basedOn w:val="a"/>
    <w:qFormat/>
    <w:pPr>
      <w:spacing w:after="120"/>
      <w:ind w:leftChars="200" w:left="420"/>
    </w:pPr>
  </w:style>
  <w:style w:type="paragraph" w:styleId="af6">
    <w:name w:val="Block Text"/>
    <w:basedOn w:val="a"/>
    <w:qFormat/>
    <w:pPr>
      <w:spacing w:after="120"/>
      <w:ind w:leftChars="700" w:left="1440" w:rightChars="700" w:right="700"/>
    </w:pPr>
  </w:style>
  <w:style w:type="paragraph" w:styleId="22">
    <w:name w:val="List Bullet 2"/>
    <w:basedOn w:val="a"/>
    <w:qFormat/>
    <w:pPr>
      <w:tabs>
        <w:tab w:val="left" w:pos="780"/>
      </w:tabs>
      <w:ind w:left="780" w:hanging="360"/>
    </w:pPr>
  </w:style>
  <w:style w:type="paragraph" w:styleId="HTML">
    <w:name w:val="HTML Address"/>
    <w:basedOn w:val="a"/>
    <w:qFormat/>
    <w:rPr>
      <w:i/>
    </w:rPr>
  </w:style>
  <w:style w:type="paragraph" w:styleId="41">
    <w:name w:val="index 4"/>
    <w:basedOn w:val="a"/>
    <w:next w:val="a"/>
    <w:qFormat/>
    <w:pPr>
      <w:ind w:leftChars="600" w:left="600"/>
    </w:p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af7">
    <w:name w:val="Plain Text"/>
    <w:basedOn w:val="a"/>
    <w:qFormat/>
    <w:rPr>
      <w:rFonts w:ascii="宋体" w:hAnsi="Courier New"/>
    </w:rPr>
  </w:style>
  <w:style w:type="paragraph" w:styleId="51">
    <w:name w:val="List Bullet 5"/>
    <w:basedOn w:val="a"/>
    <w:qFormat/>
    <w:pPr>
      <w:tabs>
        <w:tab w:val="left" w:pos="2040"/>
      </w:tabs>
      <w:ind w:left="2040" w:hanging="360"/>
    </w:pPr>
  </w:style>
  <w:style w:type="paragraph" w:styleId="42">
    <w:name w:val="List Number 4"/>
    <w:basedOn w:val="a"/>
    <w:qFormat/>
    <w:pPr>
      <w:tabs>
        <w:tab w:val="left" w:pos="1620"/>
      </w:tabs>
      <w:ind w:left="1620" w:hanging="360"/>
    </w:pPr>
  </w:style>
  <w:style w:type="paragraph" w:styleId="TOC8">
    <w:name w:val="toc 8"/>
    <w:basedOn w:val="a"/>
    <w:next w:val="a"/>
    <w:qFormat/>
    <w:pPr>
      <w:ind w:leftChars="1400" w:left="2940"/>
    </w:pPr>
  </w:style>
  <w:style w:type="paragraph" w:styleId="34">
    <w:name w:val="index 3"/>
    <w:basedOn w:val="a"/>
    <w:next w:val="a"/>
    <w:qFormat/>
    <w:pPr>
      <w:ind w:leftChars="400" w:left="400"/>
    </w:pPr>
  </w:style>
  <w:style w:type="paragraph" w:styleId="af8">
    <w:name w:val="Date"/>
    <w:basedOn w:val="a"/>
    <w:next w:val="a"/>
    <w:qFormat/>
    <w:pPr>
      <w:ind w:leftChars="2500" w:left="100"/>
    </w:pPr>
  </w:style>
  <w:style w:type="paragraph" w:styleId="23">
    <w:name w:val="Body Text Indent 2"/>
    <w:basedOn w:val="a"/>
    <w:qFormat/>
    <w:pPr>
      <w:spacing w:after="120" w:line="480" w:lineRule="auto"/>
      <w:ind w:leftChars="200" w:left="420"/>
    </w:pPr>
  </w:style>
  <w:style w:type="paragraph" w:styleId="af9">
    <w:name w:val="endnote text"/>
    <w:basedOn w:val="a"/>
    <w:qFormat/>
    <w:pPr>
      <w:snapToGrid w:val="0"/>
      <w:jc w:val="left"/>
    </w:pPr>
  </w:style>
  <w:style w:type="paragraph" w:styleId="52">
    <w:name w:val="List Continue 5"/>
    <w:basedOn w:val="a"/>
    <w:qFormat/>
    <w:pPr>
      <w:spacing w:after="120"/>
      <w:ind w:leftChars="1000" w:left="2100"/>
    </w:pPr>
  </w:style>
  <w:style w:type="paragraph" w:styleId="afa">
    <w:name w:val="Balloon Text"/>
    <w:basedOn w:val="a"/>
    <w:qFormat/>
    <w:rPr>
      <w:sz w:val="18"/>
    </w:rPr>
  </w:style>
  <w:style w:type="paragraph" w:styleId="afb">
    <w:name w:val="footer"/>
    <w:basedOn w:val="a"/>
    <w:qFormat/>
    <w:pPr>
      <w:tabs>
        <w:tab w:val="center" w:pos="4153"/>
        <w:tab w:val="right" w:pos="8306"/>
      </w:tabs>
      <w:snapToGrid w:val="0"/>
      <w:jc w:val="left"/>
    </w:pPr>
    <w:rPr>
      <w:sz w:val="18"/>
    </w:rPr>
  </w:style>
  <w:style w:type="paragraph" w:styleId="afc">
    <w:name w:val="envelope return"/>
    <w:basedOn w:val="a"/>
    <w:qFormat/>
    <w:pPr>
      <w:snapToGrid w:val="0"/>
    </w:pPr>
    <w:rPr>
      <w:rFonts w:ascii="Arial" w:hAnsi="Arial"/>
    </w:rPr>
  </w:style>
  <w:style w:type="paragraph" w:styleId="24">
    <w:name w:val="Body Text First Indent 2"/>
    <w:basedOn w:val="af4"/>
    <w:qFormat/>
    <w:pPr>
      <w:ind w:firstLineChars="200" w:firstLine="420"/>
    </w:pPr>
  </w:style>
  <w:style w:type="paragraph" w:styleId="afd">
    <w:name w:val="header"/>
    <w:basedOn w:val="a"/>
    <w:link w:val="afe"/>
    <w:qFormat/>
    <w:pPr>
      <w:pBdr>
        <w:bottom w:val="single" w:sz="6" w:space="1" w:color="auto"/>
      </w:pBdr>
      <w:tabs>
        <w:tab w:val="center" w:pos="4153"/>
        <w:tab w:val="right" w:pos="8306"/>
      </w:tabs>
      <w:snapToGrid w:val="0"/>
      <w:jc w:val="center"/>
    </w:pPr>
    <w:rPr>
      <w:rFonts w:ascii="Calibri" w:hAnsi="Calibri"/>
      <w:sz w:val="18"/>
    </w:rPr>
  </w:style>
  <w:style w:type="paragraph" w:styleId="aff">
    <w:name w:val="Signature"/>
    <w:basedOn w:val="a"/>
    <w:qFormat/>
    <w:pPr>
      <w:ind w:leftChars="2100" w:left="100"/>
    </w:pPr>
  </w:style>
  <w:style w:type="paragraph" w:styleId="TOC1">
    <w:name w:val="toc 1"/>
    <w:basedOn w:val="a"/>
    <w:next w:val="a"/>
    <w:qFormat/>
  </w:style>
  <w:style w:type="paragraph" w:styleId="43">
    <w:name w:val="List Continue 4"/>
    <w:basedOn w:val="a"/>
    <w:qFormat/>
    <w:pPr>
      <w:spacing w:after="120"/>
      <w:ind w:leftChars="800" w:left="1680"/>
    </w:pPr>
  </w:style>
  <w:style w:type="paragraph" w:styleId="TOC4">
    <w:name w:val="toc 4"/>
    <w:basedOn w:val="a"/>
    <w:next w:val="a"/>
    <w:qFormat/>
    <w:pPr>
      <w:ind w:leftChars="600" w:left="1260"/>
    </w:pPr>
  </w:style>
  <w:style w:type="paragraph" w:styleId="aff0">
    <w:name w:val="index heading"/>
    <w:basedOn w:val="a"/>
    <w:next w:val="10"/>
    <w:qFormat/>
    <w:rPr>
      <w:rFonts w:ascii="Arial" w:hAnsi="Arial"/>
      <w:b/>
    </w:rPr>
  </w:style>
  <w:style w:type="paragraph" w:styleId="10">
    <w:name w:val="index 1"/>
    <w:basedOn w:val="a"/>
    <w:next w:val="a"/>
    <w:qFormat/>
  </w:style>
  <w:style w:type="paragraph" w:styleId="aff1">
    <w:name w:val="Subtitle"/>
    <w:basedOn w:val="a"/>
    <w:qFormat/>
    <w:pPr>
      <w:spacing w:before="240" w:after="60" w:line="312" w:lineRule="auto"/>
      <w:jc w:val="center"/>
      <w:outlineLvl w:val="1"/>
    </w:pPr>
    <w:rPr>
      <w:rFonts w:ascii="Arial" w:hAnsi="Arial"/>
      <w:b/>
      <w:kern w:val="28"/>
      <w:sz w:val="32"/>
    </w:rPr>
  </w:style>
  <w:style w:type="paragraph" w:styleId="53">
    <w:name w:val="List Number 5"/>
    <w:basedOn w:val="a"/>
    <w:qFormat/>
    <w:pPr>
      <w:tabs>
        <w:tab w:val="left" w:pos="2040"/>
      </w:tabs>
      <w:ind w:left="2040" w:hanging="360"/>
    </w:pPr>
  </w:style>
  <w:style w:type="paragraph" w:styleId="aff2">
    <w:name w:val="List"/>
    <w:basedOn w:val="a"/>
    <w:qFormat/>
    <w:pPr>
      <w:ind w:left="200" w:hangingChars="200" w:hanging="200"/>
    </w:pPr>
  </w:style>
  <w:style w:type="paragraph" w:styleId="aff3">
    <w:name w:val="footnote text"/>
    <w:basedOn w:val="a"/>
    <w:qFormat/>
    <w:pPr>
      <w:snapToGrid w:val="0"/>
      <w:jc w:val="left"/>
    </w:pPr>
    <w:rPr>
      <w:sz w:val="18"/>
    </w:rPr>
  </w:style>
  <w:style w:type="paragraph" w:styleId="TOC6">
    <w:name w:val="toc 6"/>
    <w:basedOn w:val="a"/>
    <w:next w:val="a"/>
    <w:qFormat/>
    <w:pPr>
      <w:ind w:leftChars="1000" w:left="2100"/>
    </w:pPr>
  </w:style>
  <w:style w:type="paragraph" w:styleId="54">
    <w:name w:val="List 5"/>
    <w:basedOn w:val="a"/>
    <w:qFormat/>
    <w:pPr>
      <w:ind w:leftChars="800" w:left="100" w:hangingChars="200" w:hanging="200"/>
    </w:pPr>
  </w:style>
  <w:style w:type="paragraph" w:styleId="35">
    <w:name w:val="Body Text Indent 3"/>
    <w:basedOn w:val="a"/>
    <w:qFormat/>
    <w:pPr>
      <w:spacing w:line="300" w:lineRule="auto"/>
      <w:ind w:firstLineChars="200" w:firstLine="480"/>
    </w:pPr>
    <w:rPr>
      <w:sz w:val="24"/>
    </w:rPr>
  </w:style>
  <w:style w:type="paragraph" w:styleId="70">
    <w:name w:val="index 7"/>
    <w:basedOn w:val="a"/>
    <w:next w:val="a"/>
    <w:qFormat/>
    <w:pPr>
      <w:ind w:leftChars="1200" w:left="1200"/>
    </w:pPr>
  </w:style>
  <w:style w:type="paragraph" w:styleId="90">
    <w:name w:val="index 9"/>
    <w:basedOn w:val="a"/>
    <w:next w:val="a"/>
    <w:qFormat/>
    <w:pPr>
      <w:ind w:leftChars="1600" w:left="1600"/>
    </w:pPr>
  </w:style>
  <w:style w:type="paragraph" w:styleId="aff4">
    <w:name w:val="table of figures"/>
    <w:basedOn w:val="a"/>
    <w:next w:val="a"/>
    <w:qFormat/>
    <w:pPr>
      <w:ind w:leftChars="200" w:left="200" w:hangingChars="200" w:hanging="200"/>
    </w:p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5">
    <w:name w:val="Body Text 2"/>
    <w:basedOn w:val="a"/>
    <w:qFormat/>
    <w:pPr>
      <w:spacing w:after="120" w:line="480" w:lineRule="auto"/>
    </w:pPr>
  </w:style>
  <w:style w:type="paragraph" w:styleId="44">
    <w:name w:val="List 4"/>
    <w:basedOn w:val="a"/>
    <w:qFormat/>
    <w:pPr>
      <w:ind w:leftChars="600" w:left="100" w:hangingChars="200" w:hanging="200"/>
    </w:pPr>
  </w:style>
  <w:style w:type="paragraph" w:styleId="26">
    <w:name w:val="List Continue 2"/>
    <w:basedOn w:val="a"/>
    <w:qFormat/>
    <w:pPr>
      <w:spacing w:after="120"/>
      <w:ind w:leftChars="400" w:left="840"/>
    </w:pPr>
  </w:style>
  <w:style w:type="paragraph" w:styleId="aff5">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0">
    <w:name w:val="HTML Preformatted"/>
    <w:basedOn w:val="a"/>
    <w:link w:val="HTML1"/>
    <w:uiPriority w:val="99"/>
    <w:qFormat/>
    <w:rPr>
      <w:rFonts w:ascii="Courier New" w:hAnsi="Courier New"/>
    </w:rPr>
  </w:style>
  <w:style w:type="paragraph" w:styleId="aff6">
    <w:name w:val="Normal (Web)"/>
    <w:basedOn w:val="a"/>
    <w:uiPriority w:val="99"/>
    <w:qFormat/>
    <w:pPr>
      <w:spacing w:before="100" w:beforeAutospacing="1" w:after="100" w:afterAutospacing="1"/>
      <w:jc w:val="left"/>
    </w:pPr>
    <w:rPr>
      <w:kern w:val="0"/>
      <w:sz w:val="24"/>
    </w:rPr>
  </w:style>
  <w:style w:type="paragraph" w:styleId="36">
    <w:name w:val="List Continue 3"/>
    <w:basedOn w:val="a"/>
    <w:qFormat/>
    <w:pPr>
      <w:spacing w:after="120"/>
      <w:ind w:leftChars="600" w:left="1260"/>
    </w:pPr>
  </w:style>
  <w:style w:type="paragraph" w:styleId="27">
    <w:name w:val="index 2"/>
    <w:basedOn w:val="a"/>
    <w:next w:val="a"/>
    <w:qFormat/>
    <w:pPr>
      <w:ind w:leftChars="200" w:left="200"/>
    </w:pPr>
  </w:style>
  <w:style w:type="paragraph" w:styleId="aff7">
    <w:name w:val="Title"/>
    <w:basedOn w:val="a"/>
    <w:qFormat/>
    <w:pPr>
      <w:spacing w:before="240" w:after="60"/>
      <w:jc w:val="center"/>
      <w:outlineLvl w:val="0"/>
    </w:pPr>
    <w:rPr>
      <w:rFonts w:ascii="Arial" w:hAnsi="Arial"/>
      <w:b/>
      <w:sz w:val="32"/>
    </w:rPr>
  </w:style>
  <w:style w:type="character" w:styleId="aff8">
    <w:name w:val="Strong"/>
    <w:uiPriority w:val="22"/>
    <w:qFormat/>
    <w:rPr>
      <w:b/>
    </w:rPr>
  </w:style>
  <w:style w:type="character" w:styleId="aff9">
    <w:name w:val="page number"/>
    <w:basedOn w:val="a0"/>
    <w:qFormat/>
  </w:style>
  <w:style w:type="character" w:styleId="affa">
    <w:name w:val="Emphasis"/>
    <w:qFormat/>
    <w:rPr>
      <w:color w:val="CC0000"/>
    </w:rPr>
  </w:style>
  <w:style w:type="character" w:styleId="affb">
    <w:name w:val="Hyperlink"/>
    <w:qFormat/>
    <w:rPr>
      <w:color w:val="000000"/>
      <w:u w:val="none"/>
    </w:rPr>
  </w:style>
  <w:style w:type="paragraph" w:customStyle="1" w:styleId="z-1">
    <w:name w:val="z-窗体顶端1"/>
    <w:basedOn w:val="a"/>
    <w:next w:val="a"/>
    <w:qFormat/>
    <w:pPr>
      <w:widowControl/>
      <w:pBdr>
        <w:bottom w:val="single" w:sz="6" w:space="1" w:color="auto"/>
      </w:pBdr>
      <w:jc w:val="center"/>
    </w:pPr>
    <w:rPr>
      <w:rFonts w:ascii="Arial" w:hAnsi="Arial"/>
      <w:vanish/>
      <w:kern w:val="0"/>
      <w:sz w:val="16"/>
    </w:rPr>
  </w:style>
  <w:style w:type="paragraph" w:customStyle="1" w:styleId="Char">
    <w:name w:val="Char"/>
    <w:basedOn w:val="a"/>
    <w:qFormat/>
    <w:pPr>
      <w:tabs>
        <w:tab w:val="left" w:pos="360"/>
      </w:tabs>
    </w:pPr>
    <w:rPr>
      <w:rFonts w:ascii="Courier New" w:hAnsi="Courier New"/>
    </w:rPr>
  </w:style>
  <w:style w:type="paragraph" w:customStyle="1" w:styleId="11">
    <w:name w:val="列出段落11"/>
    <w:basedOn w:val="a"/>
    <w:qFormat/>
    <w:pPr>
      <w:ind w:firstLineChars="200" w:firstLine="420"/>
    </w:pPr>
    <w:rPr>
      <w:rFonts w:ascii="Calibri" w:hAnsi="Calibri"/>
    </w:rPr>
  </w:style>
  <w:style w:type="paragraph" w:customStyle="1" w:styleId="Default">
    <w:name w:val="Default"/>
    <w:qFormat/>
    <w:pPr>
      <w:widowControl w:val="0"/>
      <w:autoSpaceDE w:val="0"/>
      <w:autoSpaceDN w:val="0"/>
      <w:adjustRightInd w:val="0"/>
    </w:pPr>
    <w:rPr>
      <w:rFonts w:ascii="仿宋_GB2312" w:eastAsia="仿宋_GB2312"/>
      <w:color w:val="000000"/>
      <w:sz w:val="24"/>
    </w:rPr>
  </w:style>
  <w:style w:type="paragraph" w:customStyle="1" w:styleId="12">
    <w:name w:val="页眉1"/>
    <w:basedOn w:val="a"/>
    <w:qFormat/>
    <w:pPr>
      <w:pBdr>
        <w:bottom w:val="single" w:sz="6" w:space="1" w:color="auto"/>
      </w:pBdr>
      <w:tabs>
        <w:tab w:val="center" w:pos="4153"/>
        <w:tab w:val="right" w:pos="8306"/>
      </w:tabs>
      <w:snapToGrid w:val="0"/>
      <w:jc w:val="center"/>
    </w:pPr>
    <w:rPr>
      <w:rFonts w:ascii="Calibri" w:hAnsi="Calibri"/>
      <w:sz w:val="18"/>
    </w:rPr>
  </w:style>
  <w:style w:type="paragraph" w:customStyle="1" w:styleId="13">
    <w:name w:val="无间隔1"/>
    <w:qFormat/>
    <w:pPr>
      <w:widowControl w:val="0"/>
      <w:jc w:val="both"/>
    </w:pPr>
    <w:rPr>
      <w:kern w:val="2"/>
      <w:sz w:val="21"/>
    </w:rPr>
  </w:style>
  <w:style w:type="paragraph" w:customStyle="1" w:styleId="14">
    <w:name w:val="页脚1"/>
    <w:basedOn w:val="a"/>
    <w:qFormat/>
    <w:pPr>
      <w:tabs>
        <w:tab w:val="center" w:pos="4153"/>
        <w:tab w:val="right" w:pos="8306"/>
      </w:tabs>
      <w:snapToGrid w:val="0"/>
      <w:jc w:val="left"/>
    </w:pPr>
    <w:rPr>
      <w:sz w:val="18"/>
    </w:rPr>
  </w:style>
  <w:style w:type="paragraph" w:customStyle="1" w:styleId="15">
    <w:name w:val="列出段落1"/>
    <w:basedOn w:val="a"/>
    <w:qFormat/>
    <w:pPr>
      <w:ind w:firstLineChars="200" w:firstLine="420"/>
    </w:pPr>
  </w:style>
  <w:style w:type="paragraph" w:customStyle="1" w:styleId="p0">
    <w:name w:val="p0"/>
    <w:basedOn w:val="a"/>
    <w:qFormat/>
    <w:pPr>
      <w:widowControl/>
    </w:pPr>
    <w:rPr>
      <w:kern w:val="0"/>
    </w:rPr>
  </w:style>
  <w:style w:type="paragraph" w:customStyle="1" w:styleId="120">
    <w:name w:val="列出段落12"/>
    <w:basedOn w:val="a"/>
    <w:qFormat/>
    <w:pPr>
      <w:widowControl/>
      <w:ind w:firstLineChars="200" w:firstLine="420"/>
      <w:jc w:val="left"/>
    </w:pPr>
    <w:rPr>
      <w:rFonts w:ascii="宋体" w:hAnsi="宋体"/>
      <w:kern w:val="0"/>
      <w:sz w:val="24"/>
    </w:rPr>
  </w:style>
  <w:style w:type="paragraph" w:customStyle="1" w:styleId="z-10">
    <w:name w:val="z-窗体底端1"/>
    <w:basedOn w:val="a"/>
    <w:next w:val="a"/>
    <w:qFormat/>
    <w:pPr>
      <w:widowControl/>
      <w:pBdr>
        <w:top w:val="single" w:sz="6" w:space="1" w:color="auto"/>
      </w:pBdr>
      <w:jc w:val="center"/>
    </w:pPr>
    <w:rPr>
      <w:rFonts w:ascii="Arial" w:hAnsi="Arial"/>
      <w:vanish/>
      <w:kern w:val="0"/>
      <w:sz w:val="16"/>
    </w:rPr>
  </w:style>
  <w:style w:type="character" w:customStyle="1" w:styleId="font01">
    <w:name w:val="font01"/>
    <w:qFormat/>
    <w:rPr>
      <w:rFonts w:ascii="Arial" w:hAnsi="Arial" w:hint="default"/>
      <w:b/>
      <w:color w:val="000000"/>
      <w:sz w:val="16"/>
      <w:u w:val="none"/>
    </w:rPr>
  </w:style>
  <w:style w:type="character" w:customStyle="1" w:styleId="txtcontent11">
    <w:name w:val="txtcontent11"/>
    <w:qFormat/>
    <w:rPr>
      <w:rFonts w:ascii="ˎ̥" w:hAnsi="ˎ̥" w:hint="default"/>
      <w:color w:val="000000"/>
      <w:sz w:val="21"/>
    </w:rPr>
  </w:style>
  <w:style w:type="character" w:customStyle="1" w:styleId="font41">
    <w:name w:val="font41"/>
    <w:qFormat/>
    <w:rPr>
      <w:rFonts w:ascii="宋体" w:eastAsia="宋体" w:hAnsi="宋体" w:hint="eastAsia"/>
      <w:b/>
      <w:color w:val="000000"/>
      <w:sz w:val="16"/>
      <w:u w:val="none"/>
    </w:rPr>
  </w:style>
  <w:style w:type="character" w:customStyle="1" w:styleId="font81">
    <w:name w:val="font81"/>
    <w:qFormat/>
    <w:rPr>
      <w:rFonts w:ascii="宋体" w:eastAsia="宋体" w:hAnsi="宋体" w:hint="eastAsia"/>
      <w:b/>
      <w:color w:val="000000"/>
      <w:sz w:val="16"/>
      <w:u w:val="none"/>
    </w:rPr>
  </w:style>
  <w:style w:type="character" w:customStyle="1" w:styleId="font61">
    <w:name w:val="font61"/>
    <w:qFormat/>
    <w:rPr>
      <w:rFonts w:ascii="宋体" w:eastAsia="宋体" w:hAnsi="宋体" w:hint="eastAsia"/>
      <w:b/>
      <w:color w:val="000000"/>
      <w:sz w:val="16"/>
      <w:u w:val="none"/>
    </w:rPr>
  </w:style>
  <w:style w:type="character" w:customStyle="1" w:styleId="HTML1">
    <w:name w:val="HTML 预设格式 字符"/>
    <w:link w:val="HTML0"/>
    <w:uiPriority w:val="99"/>
    <w:qFormat/>
    <w:rPr>
      <w:rFonts w:ascii="Courier New" w:hAnsi="Courier New"/>
      <w:kern w:val="2"/>
    </w:rPr>
  </w:style>
  <w:style w:type="character" w:customStyle="1" w:styleId="16">
    <w:name w:val="未处理的提及1"/>
    <w:qFormat/>
    <w:rPr>
      <w:color w:val="808080"/>
      <w:shd w:val="clear" w:color="auto" w:fill="E6E6E6"/>
    </w:rPr>
  </w:style>
  <w:style w:type="character" w:customStyle="1" w:styleId="personpopuptrigger">
    <w:name w:val="personpopuptrigger"/>
    <w:basedOn w:val="a0"/>
    <w:qFormat/>
  </w:style>
  <w:style w:type="character" w:customStyle="1" w:styleId="17">
    <w:name w:val="不明显强调1"/>
    <w:qFormat/>
    <w:rPr>
      <w:i/>
      <w:color w:val="808080"/>
    </w:rPr>
  </w:style>
  <w:style w:type="character" w:customStyle="1" w:styleId="font71">
    <w:name w:val="font71"/>
    <w:qFormat/>
    <w:rPr>
      <w:rFonts w:ascii="宋体" w:eastAsia="宋体" w:hAnsi="宋体" w:hint="eastAsia"/>
      <w:b/>
      <w:color w:val="000000"/>
      <w:sz w:val="16"/>
      <w:u w:val="none"/>
    </w:rPr>
  </w:style>
  <w:style w:type="character" w:customStyle="1" w:styleId="afe">
    <w:name w:val="页眉 字符"/>
    <w:link w:val="afd"/>
    <w:qFormat/>
    <w:rPr>
      <w:rFonts w:ascii="Calibri" w:eastAsia="宋体" w:hAnsi="Calibri"/>
      <w:kern w:val="2"/>
      <w:sz w:val="18"/>
      <w:lang w:val="en-US" w:eastAsia="zh-CN"/>
    </w:rPr>
  </w:style>
  <w:style w:type="character" w:customStyle="1" w:styleId="font51">
    <w:name w:val="font51"/>
    <w:qFormat/>
    <w:rPr>
      <w:rFonts w:ascii="Arial" w:hAnsi="Arial" w:hint="default"/>
      <w:b/>
      <w:color w:val="000000"/>
      <w:sz w:val="16"/>
      <w:u w:val="none"/>
    </w:rPr>
  </w:style>
  <w:style w:type="character" w:customStyle="1" w:styleId="font11">
    <w:name w:val="font11"/>
    <w:qFormat/>
    <w:rPr>
      <w:rFonts w:ascii="Arial" w:hAnsi="Arial" w:hint="default"/>
      <w:b/>
      <w:color w:val="000000"/>
      <w:sz w:val="16"/>
      <w:u w:val="none"/>
    </w:rPr>
  </w:style>
  <w:style w:type="character" w:customStyle="1" w:styleId="underline1">
    <w:name w:val="underline1"/>
    <w:qFormat/>
    <w:rPr>
      <w:u w:val="single"/>
    </w:rPr>
  </w:style>
  <w:style w:type="character" w:customStyle="1" w:styleId="font31">
    <w:name w:val="font31"/>
    <w:qFormat/>
    <w:rPr>
      <w:rFonts w:ascii="宋体" w:eastAsia="宋体" w:hAnsi="宋体" w:hint="eastAsia"/>
      <w:b/>
      <w:color w:val="000000"/>
      <w:sz w:val="16"/>
      <w:u w:val="none"/>
    </w:rPr>
  </w:style>
  <w:style w:type="character" w:customStyle="1" w:styleId="apple-converted-space">
    <w:name w:val="apple-converted-space"/>
    <w:basedOn w:val="a0"/>
    <w:qFormat/>
  </w:style>
  <w:style w:type="character" w:customStyle="1" w:styleId="lbldetailcontent1">
    <w:name w:val="lbldetailcontent1"/>
    <w:qFormat/>
  </w:style>
  <w:style w:type="character" w:customStyle="1" w:styleId="18">
    <w:name w:val="页码1"/>
    <w:basedOn w:val="a0"/>
    <w:qFormat/>
  </w:style>
  <w:style w:type="character" w:customStyle="1" w:styleId="font21">
    <w:name w:val="font21"/>
    <w:qFormat/>
    <w:rPr>
      <w:rFonts w:ascii="宋体" w:eastAsia="宋体" w:hAnsi="宋体" w:hint="eastAsia"/>
      <w:b/>
      <w:color w:val="000000"/>
      <w:sz w:val="16"/>
      <w:u w:val="none"/>
    </w:rPr>
  </w:style>
  <w:style w:type="paragraph" w:customStyle="1" w:styleId="19">
    <w:name w:val="列表段落1"/>
    <w:basedOn w:val="a"/>
    <w:uiPriority w:val="99"/>
    <w:unhideWhenUsed/>
    <w:pPr>
      <w:ind w:firstLineChars="200" w:firstLine="420"/>
    </w:pPr>
  </w:style>
  <w:style w:type="character" w:customStyle="1" w:styleId="readmaillocationtip">
    <w:name w:val="readmail_locationtip"/>
    <w:basedOn w:val="a0"/>
  </w:style>
  <w:style w:type="character" w:customStyle="1" w:styleId="28">
    <w:name w:val="未处理的提及2"/>
    <w:basedOn w:val="a0"/>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2000">
      <w:bodyDiv w:val="1"/>
      <w:marLeft w:val="0"/>
      <w:marRight w:val="0"/>
      <w:marTop w:val="0"/>
      <w:marBottom w:val="0"/>
      <w:divBdr>
        <w:top w:val="none" w:sz="0" w:space="0" w:color="auto"/>
        <w:left w:val="none" w:sz="0" w:space="0" w:color="auto"/>
        <w:bottom w:val="none" w:sz="0" w:space="0" w:color="auto"/>
        <w:right w:val="none" w:sz="0" w:space="0" w:color="auto"/>
      </w:divBdr>
      <w:divsChild>
        <w:div w:id="1151599677">
          <w:marLeft w:val="0"/>
          <w:marRight w:val="0"/>
          <w:marTop w:val="0"/>
          <w:marBottom w:val="0"/>
          <w:divBdr>
            <w:top w:val="none" w:sz="0" w:space="0" w:color="auto"/>
            <w:left w:val="none" w:sz="0" w:space="0" w:color="auto"/>
            <w:bottom w:val="none" w:sz="0" w:space="0" w:color="auto"/>
            <w:right w:val="none" w:sz="0" w:space="0" w:color="auto"/>
          </w:divBdr>
        </w:div>
      </w:divsChild>
    </w:div>
    <w:div w:id="657881702">
      <w:bodyDiv w:val="1"/>
      <w:marLeft w:val="0"/>
      <w:marRight w:val="0"/>
      <w:marTop w:val="0"/>
      <w:marBottom w:val="0"/>
      <w:divBdr>
        <w:top w:val="none" w:sz="0" w:space="0" w:color="auto"/>
        <w:left w:val="none" w:sz="0" w:space="0" w:color="auto"/>
        <w:bottom w:val="none" w:sz="0" w:space="0" w:color="auto"/>
        <w:right w:val="none" w:sz="0" w:space="0" w:color="auto"/>
      </w:divBdr>
    </w:div>
    <w:div w:id="703822889">
      <w:bodyDiv w:val="1"/>
      <w:marLeft w:val="0"/>
      <w:marRight w:val="0"/>
      <w:marTop w:val="0"/>
      <w:marBottom w:val="0"/>
      <w:divBdr>
        <w:top w:val="none" w:sz="0" w:space="0" w:color="auto"/>
        <w:left w:val="none" w:sz="0" w:space="0" w:color="auto"/>
        <w:bottom w:val="none" w:sz="0" w:space="0" w:color="auto"/>
        <w:right w:val="none" w:sz="0" w:space="0" w:color="auto"/>
      </w:divBdr>
      <w:divsChild>
        <w:div w:id="1082221693">
          <w:marLeft w:val="0"/>
          <w:marRight w:val="0"/>
          <w:marTop w:val="0"/>
          <w:marBottom w:val="0"/>
          <w:divBdr>
            <w:top w:val="none" w:sz="0" w:space="0" w:color="auto"/>
            <w:left w:val="none" w:sz="0" w:space="0" w:color="auto"/>
            <w:bottom w:val="none" w:sz="0" w:space="0" w:color="auto"/>
            <w:right w:val="none" w:sz="0" w:space="0" w:color="auto"/>
          </w:divBdr>
        </w:div>
      </w:divsChild>
    </w:div>
    <w:div w:id="925696733">
      <w:bodyDiv w:val="1"/>
      <w:marLeft w:val="0"/>
      <w:marRight w:val="0"/>
      <w:marTop w:val="0"/>
      <w:marBottom w:val="0"/>
      <w:divBdr>
        <w:top w:val="none" w:sz="0" w:space="0" w:color="auto"/>
        <w:left w:val="none" w:sz="0" w:space="0" w:color="auto"/>
        <w:bottom w:val="none" w:sz="0" w:space="0" w:color="auto"/>
        <w:right w:val="none" w:sz="0" w:space="0" w:color="auto"/>
      </w:divBdr>
      <w:divsChild>
        <w:div w:id="1942714061">
          <w:marLeft w:val="0"/>
          <w:marRight w:val="0"/>
          <w:marTop w:val="0"/>
          <w:marBottom w:val="0"/>
          <w:divBdr>
            <w:top w:val="none" w:sz="0" w:space="0" w:color="auto"/>
            <w:left w:val="none" w:sz="0" w:space="0" w:color="auto"/>
            <w:bottom w:val="none" w:sz="0" w:space="0" w:color="auto"/>
            <w:right w:val="none" w:sz="0" w:space="0" w:color="auto"/>
          </w:divBdr>
        </w:div>
      </w:divsChild>
    </w:div>
    <w:div w:id="1140028918">
      <w:bodyDiv w:val="1"/>
      <w:marLeft w:val="0"/>
      <w:marRight w:val="0"/>
      <w:marTop w:val="0"/>
      <w:marBottom w:val="0"/>
      <w:divBdr>
        <w:top w:val="none" w:sz="0" w:space="0" w:color="auto"/>
        <w:left w:val="none" w:sz="0" w:space="0" w:color="auto"/>
        <w:bottom w:val="none" w:sz="0" w:space="0" w:color="auto"/>
        <w:right w:val="none" w:sz="0" w:space="0" w:color="auto"/>
      </w:divBdr>
      <w:divsChild>
        <w:div w:id="635834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C:\Documents%252525252525252525252525252525252525252525252525252525252525252525252525252525252525252525252525252525252525252525252525252520and%252525252525252525252525252525252525252525252525252525252525252525252525252525252525252525252525252525252525252525252525252520Settings\Administrator\Application%252525252525252525252525252525252525252525252525252525252525252525252525252525252525252525252525252525252525252525252525252520Data\Tencent\Users\546561691\QQ\WinTemp\RichOle\0)8_BB~N77$%25252525252525252525252525252525252525252525252525252525252525252525252525252525252525252525252525252525252525252525252525257BE0Z8%25252525252525252525252525252525252525252525252525252525252525252525252525252525252525252525252525252525252525252525252525257DY~7UIU.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55D9A-80C6-42FF-9BC4-899C4175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1250</Words>
  <Characters>7128</Characters>
  <Application>Microsoft Office Word</Application>
  <DocSecurity>0</DocSecurity>
  <Lines>59</Lines>
  <Paragraphs>16</Paragraphs>
  <ScaleCrop>false</ScaleCrop>
  <Company>Microsoft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避险拉动，金牛隐现</dc:title>
  <dc:creator>AutoBVT</dc:creator>
  <cp:lastModifiedBy>AutoBVT</cp:lastModifiedBy>
  <cp:revision>224</cp:revision>
  <cp:lastPrinted>2019-02-18T00:45:00Z</cp:lastPrinted>
  <dcterms:created xsi:type="dcterms:W3CDTF">2019-01-03T23:38:00Z</dcterms:created>
  <dcterms:modified xsi:type="dcterms:W3CDTF">2019-02-18T00:46:00Z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