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3804"/>
        </w:tabs>
        <w:spacing w:before="312" w:beforeLines="100" w:after="312" w:afterLines="100" w:line="480" w:lineRule="auto"/>
        <w:rPr>
          <w:rFonts w:ascii="黑体" w:hAnsi="宋体" w:eastAsia="黑体"/>
          <w:color w:val="FFFFFF"/>
          <w:sz w:val="28"/>
          <w:szCs w:val="28"/>
        </w:rPr>
      </w:pPr>
      <w:r>
        <w:rPr>
          <w:rFonts w:ascii="黑体" w:hAnsi="宋体" w:eastAsia="黑体"/>
          <w:color w:val="FFFFFF"/>
          <w:sz w:val="28"/>
        </w:rPr>
        <w:pict>
          <v:shape id="Text Box 2" o:spid="_x0000_s1026" o:spt="202" type="#_x0000_t202" style="position:absolute;left:0pt;margin-left:350.75pt;margin-top:7.8pt;height:31.2pt;width:178.5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">
            <v:path/>
            <v:fill on="f" focussize="0,0"/>
            <v:stroke on="f" joinstyle="miter"/>
            <v:imagedata o:title=""/>
            <o:lock v:ext="edit"/>
            <v:textbox>
              <w:txbxContent>
                <w:p>
                  <w:pPr>
                    <w:rPr>
                      <w:rFonts w:ascii="黑体" w:eastAsia="黑体"/>
                      <w:sz w:val="28"/>
                    </w:rPr>
                  </w:pPr>
                  <w:r>
                    <w:rPr>
                      <w:rFonts w:hint="eastAsia" w:ascii="黑体" w:hAnsi="Arial Black" w:eastAsia="黑体"/>
                      <w:color w:val="FFFFFF"/>
                      <w:sz w:val="28"/>
                    </w:rPr>
                    <w:fldChar w:fldCharType="begin"/>
                  </w:r>
                  <w:r>
                    <w:rPr>
                      <w:rFonts w:hint="eastAsia" w:ascii="黑体" w:hAnsi="Arial Black" w:eastAsia="黑体"/>
                      <w:color w:val="FFFFFF"/>
                      <w:sz w:val="28"/>
                    </w:rPr>
                    <w:instrText xml:space="preserve"> TIME \@ "yyyy年M月d日星期W" </w:instrText>
                  </w:r>
                  <w:r>
                    <w:rPr>
                      <w:rFonts w:hint="eastAsia" w:ascii="黑体" w:hAnsi="Arial Black" w:eastAsia="黑体"/>
                      <w:color w:val="FFFFFF"/>
                      <w:sz w:val="28"/>
                    </w:rPr>
                    <w:fldChar w:fldCharType="separate"/>
                  </w:r>
                  <w:r>
                    <w:rPr>
                      <w:rFonts w:hint="eastAsia" w:ascii="黑体" w:hAnsi="Arial Black" w:eastAsia="黑体"/>
                      <w:color w:val="FFFFFF"/>
                      <w:sz w:val="28"/>
                    </w:rPr>
                    <w:t>2019年2月24日星期日</w:t>
                  </w:r>
                  <w:r>
                    <w:rPr>
                      <w:rFonts w:hint="eastAsia" w:ascii="黑体" w:hAnsi="Arial Black" w:eastAsia="黑体"/>
                      <w:color w:val="FFFFFF"/>
                      <w:sz w:val="28"/>
                    </w:rPr>
                    <w:fldChar w:fldCharType="end"/>
                  </w:r>
                </w:p>
              </w:txbxContent>
            </v:textbox>
          </v:shape>
        </w:pict>
      </w:r>
      <w:r>
        <w:rPr>
          <w:rFonts w:ascii="黑体" w:hAnsi="宋体" w:eastAsia="黑体"/>
          <w:color w:val="FFFFFF"/>
          <w:sz w:val="28"/>
        </w:rPr>
        <w:pict>
          <v:shape id="未知" o:spid="_x0000_s1027" o:spt="100" style="position:absolute;left:0pt;margin-left:-52.75pt;margin-top:92.85pt;height:39.7pt;width:657pt;mso-position-horizontal-relative:page;mso-position-vertical-relative:page;z-index:-251658240;mso-width-relative:page;mso-height-relative:page;" fillcolor="#CC0000" filled="t" stroked="f" coordsize="10880,453" o:gfxdata="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STQEdoAAAANAQAADwAAAAAAAAABACAAAAAiAAAAZHJzL2Rv&#10;d25yZXYueG1sUEsBAhQAFAAAAAgAh07iQMxfRt84AgAAegUAAA4AAAAAAAAAAQAgAAAAKQEAAGRy&#10;cy9lMm9Eb2MueG1sUEsFBgAAAAAGAAYAWQEAANMFAAAAAA==&#10;" adj=",," path="m0,0l0,453,10880,453,10880,0,0,0xe">
            <v:path o:connecttype="segments" o:connectlocs="0,0;0,504190;8343900,504190;8343900,0;0,0" o:connectangles="0,0,0,0,0"/>
            <v:fill on="t" opacity="48495f" focussize="0,0"/>
            <v:stroke on="f" joinstyle="round"/>
            <v:imagedata o:title=""/>
            <o:lock v:ext="edit"/>
          </v:shape>
        </w:pict>
      </w:r>
      <w:r>
        <w:rPr>
          <w:rFonts w:hint="eastAsia" w:ascii="黑体" w:hAnsi="宋体" w:eastAsia="黑体"/>
          <w:color w:val="FFFFFF"/>
          <w:sz w:val="28"/>
        </w:rPr>
        <w:t xml:space="preserve"> 投资咨询部：0571-85165192，85058093 </w:t>
      </w:r>
      <w:r>
        <w:rPr>
          <w:rFonts w:hint="eastAsia" w:ascii="宋体" w:hAnsi="宋体"/>
          <w:color w:val="FFFFFF"/>
          <w:sz w:val="28"/>
        </w:rPr>
        <w:t xml:space="preserve"> </w:t>
      </w:r>
      <w:bookmarkStart w:id="0" w:name="OLE_LINK1"/>
      <w:r>
        <w:rPr>
          <w:rFonts w:ascii="黑体" w:hAnsi="宋体" w:eastAsia="黑体"/>
          <w:color w:val="FFFFFF"/>
          <w:sz w:val="28"/>
          <w:szCs w:val="28"/>
        </w:rPr>
        <w:pict>
          <v:shape id="_x0000_s1028" o:spid="_x0000_s1028" style="position:absolute;left:0pt;margin-left:-40.75pt;margin-top:105pt;height:39.7pt;width:657pt;mso-position-horizontal-relative:page;mso-position-vertical-relative:page;z-index:-251656192;mso-width-relative:page;mso-height-relative:page;" fillcolor="#CC0000" filled="t" stroked="f" coordsize="10880,453" path="m0,0l0,453,10880,453,10880,0,0,0xe">
            <v:path arrowok="t"/>
            <v:fill on="t" opacity="48497f" focussize="0,0"/>
            <v:stroke on="f"/>
            <v:imagedata o:title=""/>
            <o:lock v:ext="edit"/>
          </v:shape>
        </w:pict>
      </w:r>
    </w:p>
    <w:p>
      <w:pPr>
        <w:keepNext w:val="0"/>
        <w:keepLines w:val="0"/>
        <w:pageBreakBefore w:val="0"/>
        <w:tabs>
          <w:tab w:val="left" w:pos="3804"/>
        </w:tabs>
        <w:kinsoku/>
        <w:wordWrap/>
        <w:overflowPunct/>
        <w:topLinePunct w:val="0"/>
        <w:autoSpaceDE/>
        <w:autoSpaceDN/>
        <w:bidi w:val="0"/>
        <w:adjustRightInd/>
        <w:snapToGrid/>
        <w:spacing w:line="480" w:lineRule="auto"/>
        <w:ind w:left="0" w:leftChars="0" w:right="0" w:rightChars="0" w:firstLine="281" w:firstLineChars="100"/>
        <w:textAlignment w:val="auto"/>
        <w:outlineLvl w:val="9"/>
        <w:rPr>
          <w:rFonts w:hint="eastAsia"/>
          <w:b/>
          <w:sz w:val="28"/>
          <w:szCs w:val="28"/>
          <w:lang w:val="en-US" w:eastAsia="zh-CN"/>
        </w:rPr>
      </w:pPr>
    </w:p>
    <w:p>
      <w:pPr>
        <w:keepNext w:val="0"/>
        <w:keepLines w:val="0"/>
        <w:pageBreakBefore w:val="0"/>
        <w:tabs>
          <w:tab w:val="left" w:pos="3804"/>
        </w:tabs>
        <w:kinsoku/>
        <w:wordWrap/>
        <w:overflowPunct/>
        <w:topLinePunct w:val="0"/>
        <w:autoSpaceDE/>
        <w:autoSpaceDN/>
        <w:bidi w:val="0"/>
        <w:adjustRightInd/>
        <w:snapToGrid/>
        <w:spacing w:line="480" w:lineRule="auto"/>
        <w:ind w:left="0" w:leftChars="0" w:right="0" w:rightChars="0" w:firstLine="281" w:firstLineChars="100"/>
        <w:textAlignment w:val="auto"/>
        <w:outlineLvl w:val="9"/>
        <w:rPr>
          <w:rFonts w:hint="eastAsia" w:eastAsia="宋体"/>
          <w:b/>
          <w:sz w:val="28"/>
          <w:szCs w:val="28"/>
          <w:lang w:val="en-US" w:eastAsia="zh-CN"/>
        </w:rPr>
      </w:pPr>
      <w:r>
        <w:rPr>
          <w:rFonts w:hint="eastAsia"/>
          <w:b/>
          <w:sz w:val="28"/>
          <w:szCs w:val="28"/>
          <w:lang w:val="en-US" w:eastAsia="zh-CN"/>
        </w:rPr>
        <w:t>黑色板块：</w:t>
      </w:r>
    </w:p>
    <w:p>
      <w:pPr>
        <w:keepNext w:val="0"/>
        <w:keepLines w:val="0"/>
        <w:pageBreakBefore w:val="0"/>
        <w:tabs>
          <w:tab w:val="left" w:pos="3804"/>
        </w:tabs>
        <w:kinsoku/>
        <w:wordWrap/>
        <w:overflowPunct/>
        <w:topLinePunct w:val="0"/>
        <w:autoSpaceDE/>
        <w:autoSpaceDN/>
        <w:bidi w:val="0"/>
        <w:adjustRightInd/>
        <w:snapToGrid/>
        <w:spacing w:line="480" w:lineRule="auto"/>
        <w:ind w:left="0" w:leftChars="0" w:right="0" w:rightChars="0" w:firstLine="280" w:firstLineChars="100"/>
        <w:textAlignment w:val="auto"/>
        <w:outlineLvl w:val="9"/>
        <w:rPr>
          <w:rFonts w:hint="eastAsia"/>
          <w:b/>
        </w:rPr>
      </w:pPr>
      <w:r>
        <w:rPr>
          <w:rFonts w:ascii="黑体" w:hAnsi="宋体" w:eastAsia="黑体"/>
          <w:color w:val="FFFFFF"/>
          <w:sz w:val="28"/>
        </w:rPr>
        <w:pict>
          <v:shape id="_x0000_s1029" o:spid="_x0000_s1029" o:spt="100" style="position:absolute;left:0pt;margin-left:-28.7pt;margin-top:117pt;height:39.7pt;width:657pt;mso-position-horizontal-relative:page;mso-position-vertical-relative:page;z-index:-251655168;mso-width-relative:page;mso-height-relative:page;" fillcolor="#CC0000" filled="t" stroked="f" coordsize="10880,453" path="m0,0l0,453,10880,453,10880,0,0,0xhae">
            <v:path o:connectlocs="0,0;0,504190;8343900,504190;8343900,0;0,0"/>
            <v:fill on="t" opacity="48496f" focussize="0,0"/>
            <v:stroke on="f"/>
            <v:imagedata o:title=""/>
            <o:lock v:ext="edit" grouping="f" rotation="f" text="f" aspectratio="f"/>
          </v:shape>
        </w:pict>
      </w:r>
      <w:r>
        <w:rPr>
          <w:rFonts w:hint="eastAsia"/>
          <w:b/>
        </w:rPr>
        <w:t>螺纹：</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20" w:firstLineChars="200"/>
        <w:jc w:val="left"/>
        <w:textAlignment w:val="auto"/>
        <w:outlineLvl w:val="9"/>
        <w:rPr>
          <w:rFonts w:hint="eastAsia" w:ascii="宋体" w:hAnsi="宋体"/>
          <w:color w:val="333333"/>
          <w:shd w:val="clear" w:color="auto" w:fill="FFFFFF"/>
          <w:lang w:eastAsia="zh-CN"/>
        </w:rPr>
      </w:pPr>
      <w:r>
        <w:rPr>
          <w:rFonts w:hint="eastAsia" w:ascii="宋体" w:hAnsi="宋体"/>
          <w:color w:val="333333"/>
          <w:shd w:val="clear" w:color="auto" w:fill="FFFFFF"/>
        </w:rPr>
        <w:t>供应：2019年刚刚开始，多地再次遭遇重污染天气</w:t>
      </w:r>
      <w:r>
        <w:rPr>
          <w:rFonts w:hint="eastAsia" w:ascii="宋体" w:hAnsi="宋体"/>
          <w:color w:val="333333"/>
          <w:shd w:val="clear" w:color="auto" w:fill="FFFFFF"/>
          <w:lang w:eastAsia="zh-CN"/>
        </w:rPr>
        <w:t>，</w:t>
      </w:r>
      <w:r>
        <w:rPr>
          <w:rFonts w:hint="eastAsia" w:ascii="宋体" w:hAnsi="宋体"/>
          <w:color w:val="333333"/>
          <w:shd w:val="clear" w:color="auto" w:fill="FFFFFF"/>
        </w:rPr>
        <w:t>为应对大气污染，多省启动重污染天气Ⅱ级应急响应</w:t>
      </w:r>
      <w:r>
        <w:rPr>
          <w:rFonts w:hint="eastAsia" w:ascii="宋体" w:hAnsi="宋体"/>
          <w:color w:val="333333"/>
          <w:shd w:val="clear" w:color="auto" w:fill="FFFFFF"/>
          <w:lang w:eastAsia="zh-CN"/>
        </w:rPr>
        <w:t>，</w:t>
      </w:r>
      <w:r>
        <w:rPr>
          <w:rFonts w:hint="eastAsia" w:ascii="宋体" w:hAnsi="宋体"/>
          <w:color w:val="333333"/>
          <w:shd w:val="clear" w:color="auto" w:fill="FFFFFF"/>
        </w:rPr>
        <w:t>加强了环保整治力度</w:t>
      </w:r>
      <w:r>
        <w:rPr>
          <w:rFonts w:hint="eastAsia" w:ascii="宋体" w:hAnsi="宋体"/>
          <w:color w:val="333333"/>
          <w:shd w:val="clear" w:color="auto" w:fill="FFFFFF"/>
          <w:lang w:eastAsia="zh-CN"/>
        </w:rPr>
        <w:t>。</w:t>
      </w:r>
      <w:r>
        <w:rPr>
          <w:rFonts w:hint="eastAsia" w:ascii="宋体" w:hAnsi="宋体"/>
          <w:color w:val="333333"/>
          <w:shd w:val="clear" w:color="auto" w:fill="FFFFFF"/>
        </w:rPr>
        <w:t>目前山东地区钢厂暂未受到环保影响，后期随着重污染天气的持续，山东地区钢厂生产可能会受到一定的影响。在环保限产消息发酵下，加之</w:t>
      </w:r>
      <w:r>
        <w:rPr>
          <w:rFonts w:hint="eastAsia" w:ascii="宋体" w:hAnsi="宋体"/>
          <w:color w:val="333333"/>
          <w:shd w:val="clear" w:color="auto" w:fill="FFFFFF"/>
          <w:lang w:val="en-US" w:eastAsia="zh-CN"/>
        </w:rPr>
        <w:t>中美贸易战缓和</w:t>
      </w:r>
      <w:r>
        <w:rPr>
          <w:rFonts w:hint="eastAsia" w:ascii="宋体" w:hAnsi="宋体"/>
          <w:color w:val="333333"/>
          <w:shd w:val="clear" w:color="auto" w:fill="FFFFFF"/>
        </w:rPr>
        <w:t>，刺激黑色系期市</w:t>
      </w:r>
      <w:r>
        <w:rPr>
          <w:rFonts w:hint="eastAsia" w:ascii="宋体" w:hAnsi="宋体"/>
          <w:color w:val="333333"/>
          <w:shd w:val="clear" w:color="auto" w:fill="FFFFFF"/>
          <w:lang w:val="en-US" w:eastAsia="zh-CN"/>
        </w:rPr>
        <w:t>反弹</w:t>
      </w:r>
      <w:r>
        <w:rPr>
          <w:rFonts w:hint="eastAsia" w:ascii="宋体" w:hAnsi="宋体"/>
          <w:color w:val="333333"/>
          <w:shd w:val="clear" w:color="auto" w:fill="FFFFFF"/>
        </w:rPr>
        <w:t>。</w:t>
      </w:r>
      <w:r>
        <w:rPr>
          <w:rFonts w:hint="eastAsia" w:ascii="宋体" w:hAnsi="宋体"/>
          <w:color w:val="333333"/>
          <w:shd w:val="clear" w:color="auto" w:fill="FFFFFF"/>
          <w:lang w:val="en-US" w:eastAsia="zh-CN"/>
        </w:rPr>
        <w:t>虽然目前</w:t>
      </w:r>
      <w:r>
        <w:rPr>
          <w:rFonts w:hint="eastAsia" w:ascii="宋体" w:hAnsi="宋体"/>
          <w:color w:val="333333"/>
          <w:shd w:val="clear" w:color="auto" w:fill="FFFFFF"/>
          <w:lang w:eastAsia="zh-CN"/>
        </w:rPr>
        <w:t>河南、山东、河北等省部分城市空气严重污染，</w:t>
      </w:r>
      <w:r>
        <w:rPr>
          <w:rFonts w:hint="eastAsia" w:ascii="宋体" w:hAnsi="宋体"/>
          <w:color w:val="333333"/>
          <w:shd w:val="clear" w:color="auto" w:fill="FFFFFF"/>
          <w:lang w:val="en-US" w:eastAsia="zh-CN"/>
        </w:rPr>
        <w:t>但下周钢企</w:t>
      </w:r>
      <w:r>
        <w:rPr>
          <w:rFonts w:hint="eastAsia" w:ascii="宋体" w:hAnsi="宋体"/>
          <w:color w:val="333333"/>
          <w:shd w:val="clear" w:color="auto" w:fill="FFFFFF"/>
          <w:lang w:eastAsia="zh-CN"/>
        </w:rPr>
        <w:t>复产</w:t>
      </w:r>
      <w:r>
        <w:rPr>
          <w:rFonts w:hint="eastAsia" w:ascii="宋体" w:hAnsi="宋体"/>
          <w:color w:val="333333"/>
          <w:shd w:val="clear" w:color="auto" w:fill="FFFFFF"/>
          <w:lang w:val="en-US" w:eastAsia="zh-CN"/>
        </w:rPr>
        <w:t>或</w:t>
      </w:r>
      <w:r>
        <w:rPr>
          <w:rFonts w:hint="eastAsia" w:ascii="宋体" w:hAnsi="宋体"/>
          <w:color w:val="333333"/>
          <w:shd w:val="clear" w:color="auto" w:fill="FFFFFF"/>
          <w:lang w:eastAsia="zh-CN"/>
        </w:rPr>
        <w:t>超预期，</w:t>
      </w:r>
      <w:r>
        <w:rPr>
          <w:rFonts w:hint="eastAsia" w:ascii="宋体" w:hAnsi="宋体"/>
          <w:color w:val="333333"/>
          <w:shd w:val="clear" w:color="auto" w:fill="FFFFFF"/>
          <w:lang w:val="en-US" w:eastAsia="zh-CN"/>
        </w:rPr>
        <w:t>产量或</w:t>
      </w:r>
      <w:r>
        <w:rPr>
          <w:rFonts w:hint="eastAsia" w:ascii="宋体" w:hAnsi="宋体"/>
          <w:color w:val="333333"/>
          <w:shd w:val="clear" w:color="auto" w:fill="FFFFFF"/>
          <w:lang w:eastAsia="zh-CN"/>
        </w:rPr>
        <w:t>继续有增。</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lang w:val="en-US" w:eastAsia="zh-CN"/>
        </w:rPr>
        <w:t>环保：</w:t>
      </w:r>
      <w:r>
        <w:rPr>
          <w:rFonts w:hint="eastAsia" w:ascii="宋体" w:hAnsi="宋体"/>
          <w:color w:val="333333"/>
          <w:shd w:val="clear" w:color="auto" w:fill="FFFFFF"/>
        </w:rPr>
        <w:t>2月23—25日我省（江苏省）受北方污染物输送和不利气象条件共同影响，大气污染将进一步加重并持续，预计13个设区市自2月22日夜间起空气质量可达中度—重度污染，达到《江苏省重污染天气应急预案》橙色预警启动条件，自22日18时，将苏北5市重污染天气黄色预警升级为全省重污染天气橙色预警。</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根据环境监测与气象部门会商研判，按照《乐山市重污染天气预防和应急预案（2017年第二次修订）》，决定于2月22日12时起，启动乐山市重污染天气蓝色预警。请各地、各部门严格按照预案要求，启动并落实Ⅳ级响应措施。</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根据2019年2月21日焦作市大气研判会意见及最新数值模式预报结果，预计未来一周，我市（焦作市，下同）将持续出现重度污染过程，个别时段将达到严重污染程度，符合《焦作市重污染天气应急预案（2018年修订）》（焦政办〔2018〕93号）（以下简称《预案》）规定的红色（Ⅰ级）预警启动条件，市污染防治攻坚办决定，自2019年2月22日0时起，将我市目前执行的重污染天气橙色（Ⅱ级）预警上调至红色（Ⅰ级）预警，预警解除时间另行通知。</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根据中国环境监测总站与京津冀及周边地区省级环境监测中心会商结果,山东省内陆地区将出现一次大范围的中至重度污染过程。其中，预计济南、淄博、枣庄、东营、潍坊、济宁、泰安、临沂、德州、聊城、滨州、菏泽12市于19日至22日将出现连续三天以上中至重度污染天气。截止目前济南、淄博、枣庄、济宁、泰安、德州、聊城、菏泽市已相继发布重污染天气橙色预警；东营、潍坊、临沂、滨州市已相继发布重污染天气黄色预警。且各地区已发布重污染天气应急响应。据悉，各市重污染天气预警期间，将开展工业企业减排、扬尘污染减排等一系列措施减少污染排放。</w:t>
      </w:r>
    </w:p>
    <w:p>
      <w:pPr>
        <w:widowControl/>
        <w:spacing w:line="360" w:lineRule="auto"/>
        <w:jc w:val="left"/>
      </w:pPr>
      <w:r>
        <w:rPr>
          <w:rFonts w:hint="eastAsia" w:ascii="宋体" w:hAnsi="宋体"/>
          <w:color w:val="333333"/>
          <w:shd w:val="clear" w:color="auto" w:fill="FFFFFF"/>
        </w:rPr>
        <w:t>图 1：钢厂开工率和产能利用率</w:t>
      </w:r>
      <w:r>
        <w:drawing>
          <wp:inline distT="0" distB="0" distL="114300" distR="114300">
            <wp:extent cx="5512435" cy="2226310"/>
            <wp:effectExtent l="0" t="0" r="12065" b="254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8"/>
                    <a:stretch>
                      <a:fillRect/>
                    </a:stretch>
                  </pic:blipFill>
                  <pic:spPr>
                    <a:xfrm>
                      <a:off x="0" y="0"/>
                      <a:ext cx="5512435" cy="2226310"/>
                    </a:xfrm>
                    <a:prstGeom prst="rect">
                      <a:avLst/>
                    </a:prstGeom>
                    <a:noFill/>
                    <a:ln w="9525">
                      <a:noFill/>
                    </a:ln>
                  </pic:spPr>
                </pic:pic>
              </a:graphicData>
            </a:graphic>
          </wp:inline>
        </w:drawing>
      </w:r>
    </w:p>
    <w:p>
      <w:pPr>
        <w:widowControl/>
        <w:spacing w:line="360" w:lineRule="auto"/>
        <w:jc w:val="left"/>
        <w:rPr>
          <w:rFonts w:hint="eastAsia" w:eastAsia="宋体"/>
          <w:lang w:val="en-US" w:eastAsia="zh-CN"/>
        </w:rPr>
      </w:pPr>
      <w:r>
        <w:rPr>
          <w:rFonts w:hint="eastAsia"/>
          <w:lang w:val="en-US" w:eastAsia="zh-CN"/>
        </w:rPr>
        <w:t>数据来源：wind，新世纪期货</w:t>
      </w:r>
    </w:p>
    <w:p>
      <w:pPr>
        <w:widowControl/>
        <w:spacing w:line="360" w:lineRule="auto"/>
        <w:jc w:val="left"/>
      </w:pPr>
      <w:r>
        <w:rPr>
          <w:rFonts w:hint="eastAsia" w:ascii="宋体" w:hAnsi="宋体"/>
          <w:color w:val="333333"/>
          <w:shd w:val="clear" w:color="auto" w:fill="FFFFFF"/>
        </w:rPr>
        <w:t>图 2：</w:t>
      </w:r>
      <w:r>
        <w:rPr>
          <w:rFonts w:hint="eastAsia" w:ascii="宋体" w:hAnsi="宋体"/>
          <w:color w:val="333333"/>
          <w:shd w:val="clear" w:color="auto" w:fill="FFFFFF"/>
          <w:lang w:val="en-US" w:eastAsia="zh-CN"/>
        </w:rPr>
        <w:t>五大钢材供应同比情况表</w:t>
      </w:r>
      <w:r>
        <w:drawing>
          <wp:inline distT="0" distB="0" distL="114300" distR="114300">
            <wp:extent cx="5519420" cy="1377315"/>
            <wp:effectExtent l="0" t="0" r="5080" b="1333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9"/>
                    <a:stretch>
                      <a:fillRect/>
                    </a:stretch>
                  </pic:blipFill>
                  <pic:spPr>
                    <a:xfrm>
                      <a:off x="0" y="0"/>
                      <a:ext cx="5519420" cy="1377315"/>
                    </a:xfrm>
                    <a:prstGeom prst="rect">
                      <a:avLst/>
                    </a:prstGeom>
                    <a:noFill/>
                    <a:ln w="9525">
                      <a:noFill/>
                    </a:ln>
                  </pic:spPr>
                </pic:pic>
              </a:graphicData>
            </a:graphic>
          </wp:inline>
        </w:drawing>
      </w:r>
    </w:p>
    <w:p>
      <w:pPr>
        <w:widowControl/>
        <w:spacing w:line="360" w:lineRule="auto"/>
        <w:jc w:val="left"/>
        <w:rPr>
          <w:rFonts w:hint="eastAsia" w:eastAsia="宋体"/>
          <w:lang w:val="en-US" w:eastAsia="zh-CN"/>
        </w:rPr>
      </w:pPr>
      <w:r>
        <w:rPr>
          <w:rFonts w:hint="eastAsia"/>
          <w:lang w:val="en-US" w:eastAsia="zh-CN"/>
        </w:rPr>
        <w:t>数据来源：mysteel，新世纪期货</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国家统计局数据显示，2018 年12 月全国粗钢产量7612.1 万吨，同比增长8.2%；生铁产量6320.1</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万吨，同比增长9.4%；钢材产量9365 万吨，同比增长9.1%。2018 年1-12 月，全国粗钢产量9.28 亿吨，同比增长6.6%；生铁产量7.71 亿吨，同比增长3.0%；钢材产量11.06 亿吨，同比增长8.5%。截至2 月</w:t>
      </w:r>
      <w:r>
        <w:rPr>
          <w:rFonts w:hint="eastAsia" w:ascii="宋体" w:hAnsi="宋体"/>
          <w:color w:val="333333"/>
          <w:shd w:val="clear" w:color="auto" w:fill="FFFFFF"/>
          <w:lang w:val="en-US" w:eastAsia="zh-CN"/>
        </w:rPr>
        <w:t>22</w:t>
      </w:r>
      <w:r>
        <w:rPr>
          <w:rFonts w:hint="eastAsia" w:ascii="宋体" w:hAnsi="宋体"/>
          <w:color w:val="333333"/>
          <w:shd w:val="clear" w:color="auto" w:fill="FFFFFF"/>
        </w:rPr>
        <w:t xml:space="preserve"> 日，全国高炉开工率65.75%，较去年同期高</w:t>
      </w:r>
      <w:r>
        <w:rPr>
          <w:rFonts w:hint="eastAsia" w:ascii="宋体" w:hAnsi="宋体"/>
          <w:color w:val="333333"/>
          <w:shd w:val="clear" w:color="auto" w:fill="FFFFFF"/>
          <w:lang w:val="en-US" w:eastAsia="zh-CN"/>
        </w:rPr>
        <w:t>3.04</w:t>
      </w:r>
      <w:r>
        <w:rPr>
          <w:rFonts w:hint="eastAsia" w:ascii="宋体" w:hAnsi="宋体"/>
          <w:color w:val="333333"/>
          <w:shd w:val="clear" w:color="auto" w:fill="FFFFFF"/>
        </w:rPr>
        <w:t>%</w:t>
      </w:r>
      <w:r>
        <w:rPr>
          <w:rFonts w:hint="eastAsia" w:ascii="宋体" w:hAnsi="宋体"/>
          <w:color w:val="333333"/>
          <w:shd w:val="clear" w:color="auto" w:fill="FFFFFF"/>
          <w:lang w:eastAsia="zh-CN"/>
        </w:rPr>
        <w:t>，</w:t>
      </w:r>
      <w:r>
        <w:rPr>
          <w:rFonts w:hint="eastAsia" w:ascii="宋体" w:hAnsi="宋体"/>
          <w:color w:val="333333"/>
          <w:shd w:val="clear" w:color="auto" w:fill="FFFFFF"/>
        </w:rPr>
        <w:t>供应易增难减。</w:t>
      </w:r>
    </w:p>
    <w:p>
      <w:pPr>
        <w:widowControl/>
        <w:spacing w:line="360" w:lineRule="auto"/>
        <w:ind w:firstLine="420" w:firstLineChars="200"/>
        <w:jc w:val="left"/>
        <w:rPr>
          <w:rFonts w:ascii="宋体" w:hAnsi="宋体"/>
          <w:color w:val="333333"/>
          <w:shd w:val="clear" w:color="auto" w:fill="FFFFFF"/>
        </w:rPr>
      </w:pPr>
      <w:r>
        <w:rPr>
          <w:rFonts w:hint="eastAsia" w:ascii="宋体" w:hAnsi="宋体"/>
          <w:color w:val="333333"/>
          <w:shd w:val="clear" w:color="auto" w:fill="FFFFFF"/>
          <w:lang w:val="en-US" w:eastAsia="zh-CN"/>
        </w:rPr>
        <w:t>需求</w:t>
      </w:r>
      <w:r>
        <w:rPr>
          <w:rFonts w:hint="eastAsia" w:ascii="宋体" w:hAnsi="宋体"/>
          <w:color w:val="333333"/>
          <w:shd w:val="clear" w:color="auto" w:fill="FFFFFF"/>
        </w:rPr>
        <w:t>：本周传统节日“正月十五，元宵节”已经过罢，“返工潮”正式开始，多数贸易商也开始上班，因此下周需求会有明显转好趋势。截止2 月</w:t>
      </w:r>
      <w:r>
        <w:rPr>
          <w:rFonts w:hint="eastAsia" w:ascii="宋体" w:hAnsi="宋体"/>
          <w:color w:val="333333"/>
          <w:shd w:val="clear" w:color="auto" w:fill="FFFFFF"/>
          <w:lang w:val="en-US" w:eastAsia="zh-CN"/>
        </w:rPr>
        <w:t>22</w:t>
      </w:r>
      <w:r>
        <w:rPr>
          <w:rFonts w:hint="eastAsia" w:ascii="宋体" w:hAnsi="宋体"/>
          <w:color w:val="333333"/>
          <w:shd w:val="clear" w:color="auto" w:fill="FFFFFF"/>
        </w:rPr>
        <w:t xml:space="preserve"> 日当周，上海终端线螺周度采购量为</w:t>
      </w:r>
      <w:r>
        <w:rPr>
          <w:rFonts w:hint="eastAsia" w:ascii="宋体" w:hAnsi="宋体"/>
          <w:color w:val="333333"/>
          <w:shd w:val="clear" w:color="auto" w:fill="FFFFFF"/>
          <w:lang w:val="en-US" w:eastAsia="zh-CN"/>
        </w:rPr>
        <w:t>13200</w:t>
      </w:r>
      <w:r>
        <w:rPr>
          <w:rFonts w:hint="eastAsia" w:ascii="宋体" w:hAnsi="宋体"/>
          <w:color w:val="333333"/>
          <w:shd w:val="clear" w:color="auto" w:fill="FFFFFF"/>
        </w:rPr>
        <w:t>吨，环比上</w:t>
      </w:r>
      <w:r>
        <w:rPr>
          <w:rFonts w:hint="eastAsia" w:ascii="宋体" w:hAnsi="宋体"/>
          <w:color w:val="333333"/>
          <w:shd w:val="clear" w:color="auto" w:fill="FFFFFF"/>
          <w:lang w:val="en-US" w:eastAsia="zh-CN"/>
        </w:rPr>
        <w:t>周增加11340</w:t>
      </w:r>
      <w:r>
        <w:rPr>
          <w:rFonts w:hint="eastAsia" w:ascii="宋体" w:hAnsi="宋体"/>
          <w:color w:val="333333"/>
          <w:shd w:val="clear" w:color="auto" w:fill="FFFFFF"/>
        </w:rPr>
        <w:t>吨，全国建筑钢材日成交为</w:t>
      </w:r>
      <w:r>
        <w:rPr>
          <w:rFonts w:hint="eastAsia" w:ascii="宋体" w:hAnsi="宋体"/>
          <w:color w:val="333333"/>
          <w:shd w:val="clear" w:color="auto" w:fill="FFFFFF"/>
          <w:lang w:val="en-US" w:eastAsia="zh-CN"/>
        </w:rPr>
        <w:t>12.8</w:t>
      </w:r>
      <w:r>
        <w:rPr>
          <w:rFonts w:hint="eastAsia" w:ascii="宋体" w:hAnsi="宋体"/>
          <w:color w:val="333333"/>
          <w:shd w:val="clear" w:color="auto" w:fill="FFFFFF"/>
        </w:rPr>
        <w:t>万吨，</w:t>
      </w:r>
      <w:r>
        <w:rPr>
          <w:rFonts w:hint="eastAsia" w:ascii="宋体" w:hAnsi="宋体"/>
          <w:color w:val="333333"/>
          <w:shd w:val="clear" w:color="auto" w:fill="FFFFFF"/>
          <w:lang w:val="en-US" w:eastAsia="zh-CN"/>
        </w:rPr>
        <w:t>环比上一交易日增加3.5万吨，需求下周正式启动。另外，土地购置费增长仍是房地产开发投资增长的源动力,剔除“土地购置费”的房地产开发投资同比负增长。随着购置费的回落，后期投资存在隐忧。需求无法释放，供大于求将成为市场的主要格局。</w:t>
      </w:r>
    </w:p>
    <w:p>
      <w:pPr>
        <w:widowControl/>
        <w:spacing w:line="360" w:lineRule="auto"/>
        <w:jc w:val="left"/>
      </w:pPr>
      <w:r>
        <w:rPr>
          <w:rFonts w:hint="eastAsia" w:ascii="宋体" w:hAnsi="宋体"/>
          <w:color w:val="333333"/>
          <w:shd w:val="clear" w:color="auto" w:fill="FFFFFF"/>
        </w:rPr>
        <w:t>图</w:t>
      </w:r>
      <w:r>
        <w:rPr>
          <w:rFonts w:ascii="宋体" w:hAnsi="宋体"/>
          <w:color w:val="333333"/>
          <w:shd w:val="clear" w:color="auto" w:fill="FFFFFF"/>
        </w:rPr>
        <w:t>3</w:t>
      </w:r>
      <w:r>
        <w:rPr>
          <w:rFonts w:hint="eastAsia" w:ascii="宋体" w:hAnsi="宋体"/>
          <w:color w:val="333333"/>
          <w:shd w:val="clear" w:color="auto" w:fill="FFFFFF"/>
        </w:rPr>
        <w:t>：上海终端线螺采购量</w:t>
      </w:r>
      <w:r>
        <w:drawing>
          <wp:inline distT="0" distB="0" distL="114300" distR="114300">
            <wp:extent cx="6047740" cy="1991995"/>
            <wp:effectExtent l="0" t="0" r="10160" b="825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0"/>
                    <a:stretch>
                      <a:fillRect/>
                    </a:stretch>
                  </pic:blipFill>
                  <pic:spPr>
                    <a:xfrm>
                      <a:off x="0" y="0"/>
                      <a:ext cx="6047740" cy="1991995"/>
                    </a:xfrm>
                    <a:prstGeom prst="rect">
                      <a:avLst/>
                    </a:prstGeom>
                    <a:noFill/>
                    <a:ln w="9525">
                      <a:noFill/>
                    </a:ln>
                  </pic:spPr>
                </pic:pic>
              </a:graphicData>
            </a:graphic>
          </wp:inline>
        </w:drawing>
      </w:r>
    </w:p>
    <w:p>
      <w:pPr>
        <w:widowControl/>
        <w:spacing w:line="360" w:lineRule="auto"/>
        <w:jc w:val="left"/>
        <w:rPr>
          <w:rFonts w:hint="eastAsia" w:eastAsia="宋体"/>
          <w:lang w:val="en-US" w:eastAsia="zh-CN"/>
        </w:rPr>
      </w:pPr>
      <w:r>
        <w:rPr>
          <w:rFonts w:hint="eastAsia"/>
          <w:lang w:val="en-US" w:eastAsia="zh-CN"/>
        </w:rPr>
        <w:t>数据来源：mysteel，新世纪期货</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库存：本周五大品种</w:t>
      </w:r>
      <w:r>
        <w:rPr>
          <w:rFonts w:hint="eastAsia" w:ascii="宋体" w:hAnsi="宋体"/>
          <w:color w:val="333333"/>
          <w:shd w:val="clear" w:color="auto" w:fill="FFFFFF"/>
          <w:lang w:val="en-US" w:eastAsia="zh-CN"/>
        </w:rPr>
        <w:t>1797.44万吨，环比增加179.27万吨，</w:t>
      </w:r>
      <w:r>
        <w:rPr>
          <w:rFonts w:hint="eastAsia" w:ascii="宋体" w:hAnsi="宋体"/>
          <w:color w:val="333333"/>
          <w:shd w:val="clear" w:color="auto" w:fill="FFFFFF"/>
        </w:rPr>
        <w:t>主要城市螺纹钢社会库存</w:t>
      </w:r>
      <w:r>
        <w:rPr>
          <w:rFonts w:hint="eastAsia" w:ascii="宋体" w:hAnsi="宋体"/>
          <w:color w:val="333333"/>
          <w:shd w:val="clear" w:color="auto" w:fill="FFFFFF"/>
          <w:lang w:val="en-US" w:eastAsia="zh-CN"/>
        </w:rPr>
        <w:t>954.1</w:t>
      </w:r>
      <w:r>
        <w:rPr>
          <w:rFonts w:hint="eastAsia" w:ascii="宋体" w:hAnsi="宋体"/>
          <w:color w:val="333333"/>
          <w:shd w:val="clear" w:color="auto" w:fill="FFFFFF"/>
        </w:rPr>
        <w:t>万吨，环比</w:t>
      </w:r>
      <w:r>
        <w:rPr>
          <w:rFonts w:hint="eastAsia" w:ascii="宋体" w:hAnsi="宋体"/>
          <w:color w:val="333333"/>
          <w:shd w:val="clear" w:color="auto" w:fill="FFFFFF"/>
          <w:lang w:val="en-US" w:eastAsia="zh-CN"/>
        </w:rPr>
        <w:t>增加126.4</w:t>
      </w:r>
      <w:r>
        <w:rPr>
          <w:rFonts w:hint="eastAsia" w:ascii="宋体" w:hAnsi="宋体"/>
          <w:color w:val="333333"/>
          <w:shd w:val="clear" w:color="auto" w:fill="FFFFFF"/>
        </w:rPr>
        <w:t>万吨，厂家库存</w:t>
      </w:r>
      <w:r>
        <w:rPr>
          <w:rFonts w:hint="eastAsia" w:ascii="宋体" w:hAnsi="宋体"/>
          <w:color w:val="333333"/>
          <w:shd w:val="clear" w:color="auto" w:fill="FFFFFF"/>
          <w:lang w:val="en-US" w:eastAsia="zh-CN"/>
        </w:rPr>
        <w:t>349.28</w:t>
      </w:r>
      <w:r>
        <w:rPr>
          <w:rFonts w:hint="eastAsia" w:ascii="宋体" w:hAnsi="宋体"/>
          <w:color w:val="333333"/>
          <w:shd w:val="clear" w:color="auto" w:fill="FFFFFF"/>
        </w:rPr>
        <w:t>万吨，环比</w:t>
      </w:r>
      <w:r>
        <w:rPr>
          <w:rFonts w:hint="eastAsia" w:ascii="宋体" w:hAnsi="宋体"/>
          <w:color w:val="333333"/>
          <w:shd w:val="clear" w:color="auto" w:fill="FFFFFF"/>
          <w:lang w:val="en-US" w:eastAsia="zh-CN"/>
        </w:rPr>
        <w:t>增加9.76</w:t>
      </w:r>
      <w:r>
        <w:rPr>
          <w:rFonts w:hint="eastAsia" w:ascii="宋体" w:hAnsi="宋体"/>
          <w:color w:val="333333"/>
          <w:shd w:val="clear" w:color="auto" w:fill="FFFFFF"/>
        </w:rPr>
        <w:t>万吨</w:t>
      </w:r>
      <w:r>
        <w:rPr>
          <w:rFonts w:hint="eastAsia" w:ascii="宋体" w:hAnsi="宋体"/>
          <w:color w:val="333333"/>
          <w:shd w:val="clear" w:color="auto" w:fill="FFFFFF"/>
          <w:lang w:eastAsia="zh-CN"/>
        </w:rPr>
        <w:t>。</w:t>
      </w:r>
      <w:r>
        <w:rPr>
          <w:rFonts w:hint="eastAsia" w:ascii="宋体" w:hAnsi="宋体"/>
          <w:color w:val="333333"/>
          <w:shd w:val="clear" w:color="auto" w:fill="FFFFFF"/>
        </w:rPr>
        <w:t>本周五大品种总库周环比持续放量</w:t>
      </w:r>
      <w:r>
        <w:rPr>
          <w:rFonts w:hint="eastAsia" w:ascii="宋体" w:hAnsi="宋体"/>
          <w:color w:val="333333"/>
          <w:shd w:val="clear" w:color="auto" w:fill="FFFFFF"/>
          <w:lang w:eastAsia="zh-CN"/>
        </w:rPr>
        <w:t>。</w:t>
      </w:r>
      <w:r>
        <w:rPr>
          <w:rFonts w:hint="eastAsia" w:ascii="宋体" w:hAnsi="宋体"/>
          <w:color w:val="333333"/>
          <w:shd w:val="clear" w:color="auto" w:fill="FFFFFF"/>
          <w:lang w:val="en-US" w:eastAsia="zh-CN"/>
        </w:rPr>
        <w:t>按往年来看，</w:t>
      </w:r>
      <w:r>
        <w:rPr>
          <w:rFonts w:hint="eastAsia" w:ascii="宋体" w:hAnsi="宋体"/>
          <w:color w:val="333333"/>
          <w:shd w:val="clear" w:color="auto" w:fill="FFFFFF"/>
        </w:rPr>
        <w:t>库存明显增量或维持三周左右，此后会随着需求启动逐渐转为下降趋势。但短期内库存或继续增加，增幅会明显减小。</w:t>
      </w:r>
    </w:p>
    <w:p>
      <w:pPr>
        <w:widowControl/>
        <w:spacing w:line="360" w:lineRule="auto"/>
        <w:jc w:val="left"/>
      </w:pPr>
      <w:r>
        <w:rPr>
          <w:rFonts w:hint="eastAsia" w:ascii="宋体" w:hAnsi="宋体"/>
          <w:color w:val="333333"/>
          <w:shd w:val="clear" w:color="auto" w:fill="FFFFFF"/>
        </w:rPr>
        <w:t>图</w:t>
      </w:r>
      <w:r>
        <w:rPr>
          <w:rFonts w:ascii="宋体" w:hAnsi="宋体"/>
          <w:color w:val="333333"/>
          <w:shd w:val="clear" w:color="auto" w:fill="FFFFFF"/>
        </w:rPr>
        <w:t>4</w:t>
      </w:r>
      <w:r>
        <w:rPr>
          <w:rFonts w:hint="eastAsia" w:ascii="宋体" w:hAnsi="宋体"/>
          <w:color w:val="333333"/>
          <w:shd w:val="clear" w:color="auto" w:fill="FFFFFF"/>
        </w:rPr>
        <w:t>：</w:t>
      </w:r>
      <w:r>
        <w:rPr>
          <w:rFonts w:hint="eastAsia" w:ascii="宋体" w:hAnsi="宋体"/>
          <w:color w:val="333333"/>
          <w:shd w:val="clear" w:color="auto" w:fill="FFFFFF"/>
          <w:lang w:val="en-US" w:eastAsia="zh-CN"/>
        </w:rPr>
        <w:t>五大钢材</w:t>
      </w:r>
      <w:r>
        <w:rPr>
          <w:rFonts w:hint="eastAsia" w:ascii="宋体" w:hAnsi="宋体"/>
          <w:color w:val="333333"/>
          <w:shd w:val="clear" w:color="auto" w:fill="FFFFFF"/>
        </w:rPr>
        <w:t>社会库存走势图</w:t>
      </w:r>
    </w:p>
    <w:p>
      <w:pPr>
        <w:widowControl/>
        <w:spacing w:line="360" w:lineRule="auto"/>
        <w:jc w:val="left"/>
      </w:pPr>
      <w:r>
        <w:drawing>
          <wp:inline distT="0" distB="0" distL="114300" distR="114300">
            <wp:extent cx="6178550" cy="1858645"/>
            <wp:effectExtent l="0" t="0" r="12700" b="825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1"/>
                    <a:stretch>
                      <a:fillRect/>
                    </a:stretch>
                  </pic:blipFill>
                  <pic:spPr>
                    <a:xfrm>
                      <a:off x="0" y="0"/>
                      <a:ext cx="6178550" cy="1858645"/>
                    </a:xfrm>
                    <a:prstGeom prst="rect">
                      <a:avLst/>
                    </a:prstGeom>
                    <a:noFill/>
                    <a:ln w="9525">
                      <a:noFill/>
                    </a:ln>
                  </pic:spPr>
                </pic:pic>
              </a:graphicData>
            </a:graphic>
          </wp:inline>
        </w:drawing>
      </w:r>
    </w:p>
    <w:p>
      <w:pPr>
        <w:widowControl/>
        <w:spacing w:line="360" w:lineRule="auto"/>
        <w:jc w:val="left"/>
      </w:pPr>
      <w:r>
        <w:rPr>
          <w:rFonts w:hint="eastAsia"/>
          <w:lang w:val="en-US" w:eastAsia="zh-CN"/>
        </w:rPr>
        <w:t>数据来源：mysteel，新世纪期货</w:t>
      </w:r>
    </w:p>
    <w:p>
      <w:pPr>
        <w:widowControl/>
        <w:spacing w:line="360" w:lineRule="auto"/>
        <w:jc w:val="left"/>
      </w:pPr>
      <w:r>
        <w:rPr>
          <w:rFonts w:hint="eastAsia" w:ascii="宋体" w:hAnsi="宋体"/>
          <w:color w:val="333333"/>
          <w:shd w:val="clear" w:color="auto" w:fill="FFFFFF"/>
        </w:rPr>
        <w:t>图</w:t>
      </w:r>
      <w:r>
        <w:rPr>
          <w:rFonts w:ascii="宋体" w:hAnsi="宋体"/>
          <w:color w:val="333333"/>
          <w:shd w:val="clear" w:color="auto" w:fill="FFFFFF"/>
        </w:rPr>
        <w:t>5</w:t>
      </w:r>
      <w:r>
        <w:rPr>
          <w:rFonts w:hint="eastAsia" w:ascii="宋体" w:hAnsi="宋体"/>
          <w:color w:val="333333"/>
          <w:shd w:val="clear" w:color="auto" w:fill="FFFFFF"/>
        </w:rPr>
        <w:t>：螺纹社会库存走势图</w:t>
      </w:r>
      <w:r>
        <w:drawing>
          <wp:inline distT="0" distB="0" distL="114300" distR="114300">
            <wp:extent cx="6179185" cy="1516380"/>
            <wp:effectExtent l="0" t="0" r="12065" b="762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2"/>
                    <a:stretch>
                      <a:fillRect/>
                    </a:stretch>
                  </pic:blipFill>
                  <pic:spPr>
                    <a:xfrm>
                      <a:off x="0" y="0"/>
                      <a:ext cx="6179185" cy="1516380"/>
                    </a:xfrm>
                    <a:prstGeom prst="rect">
                      <a:avLst/>
                    </a:prstGeom>
                    <a:noFill/>
                    <a:ln w="9525">
                      <a:noFill/>
                    </a:ln>
                  </pic:spPr>
                </pic:pic>
              </a:graphicData>
            </a:graphic>
          </wp:inline>
        </w:drawing>
      </w:r>
    </w:p>
    <w:p>
      <w:pPr>
        <w:widowControl/>
        <w:spacing w:line="360" w:lineRule="auto"/>
        <w:jc w:val="left"/>
        <w:rPr>
          <w:rFonts w:hint="eastAsia"/>
          <w:lang w:val="en-US" w:eastAsia="zh-CN"/>
        </w:rPr>
      </w:pPr>
      <w:r>
        <w:rPr>
          <w:rFonts w:hint="eastAsia"/>
          <w:lang w:val="en-US" w:eastAsia="zh-CN"/>
        </w:rPr>
        <w:t>数据来源：mysteel，新世纪期货</w:t>
      </w:r>
    </w:p>
    <w:p>
      <w:pPr>
        <w:widowControl/>
        <w:spacing w:line="360" w:lineRule="auto"/>
        <w:jc w:val="left"/>
        <w:rPr>
          <w:rFonts w:hint="eastAsia"/>
          <w:lang w:val="en-US" w:eastAsia="zh-CN"/>
        </w:rPr>
      </w:pPr>
      <w:r>
        <w:rPr>
          <w:rFonts w:hint="eastAsia"/>
          <w:lang w:val="en-US" w:eastAsia="zh-CN"/>
        </w:rPr>
        <w:t>图6：螺纹社会库存同比图</w:t>
      </w:r>
    </w:p>
    <w:p>
      <w:pPr>
        <w:widowControl/>
        <w:spacing w:line="360" w:lineRule="auto"/>
        <w:jc w:val="left"/>
      </w:pPr>
      <w:r>
        <w:drawing>
          <wp:inline distT="0" distB="0" distL="114300" distR="114300">
            <wp:extent cx="6174740" cy="1371600"/>
            <wp:effectExtent l="0" t="0" r="16510" b="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3"/>
                    <a:stretch>
                      <a:fillRect/>
                    </a:stretch>
                  </pic:blipFill>
                  <pic:spPr>
                    <a:xfrm>
                      <a:off x="0" y="0"/>
                      <a:ext cx="6174740" cy="1371600"/>
                    </a:xfrm>
                    <a:prstGeom prst="rect">
                      <a:avLst/>
                    </a:prstGeom>
                    <a:noFill/>
                    <a:ln w="9525">
                      <a:noFill/>
                    </a:ln>
                  </pic:spPr>
                </pic:pic>
              </a:graphicData>
            </a:graphic>
          </wp:inline>
        </w:drawing>
      </w:r>
    </w:p>
    <w:p>
      <w:pPr>
        <w:widowControl/>
        <w:spacing w:line="360" w:lineRule="auto"/>
        <w:jc w:val="left"/>
      </w:pPr>
      <w:r>
        <w:rPr>
          <w:rFonts w:hint="eastAsia"/>
          <w:lang w:val="en-US" w:eastAsia="zh-CN"/>
        </w:rPr>
        <w:t>数据来源：mysteel，新世纪期货</w:t>
      </w:r>
    </w:p>
    <w:p>
      <w:pPr>
        <w:widowControl/>
        <w:spacing w:line="360" w:lineRule="auto"/>
        <w:ind w:firstLine="420"/>
        <w:jc w:val="left"/>
        <w:rPr>
          <w:rFonts w:hint="eastAsia"/>
        </w:rPr>
      </w:pPr>
      <w:r>
        <w:rPr>
          <w:rFonts w:hint="eastAsia"/>
        </w:rPr>
        <w:t>利润：目前现货利润</w:t>
      </w:r>
      <w:r>
        <w:rPr>
          <w:rFonts w:hint="eastAsia"/>
          <w:lang w:val="en-US" w:eastAsia="zh-CN"/>
        </w:rPr>
        <w:t>480</w:t>
      </w:r>
      <w:r>
        <w:rPr>
          <w:rFonts w:hint="eastAsia"/>
        </w:rPr>
        <w:t>元/吨，盘面利润</w:t>
      </w:r>
      <w:r>
        <w:rPr>
          <w:rFonts w:hint="eastAsia"/>
          <w:lang w:val="en-US" w:eastAsia="zh-CN"/>
        </w:rPr>
        <w:t>460</w:t>
      </w:r>
      <w:r>
        <w:rPr>
          <w:rFonts w:hint="eastAsia"/>
        </w:rPr>
        <w:t>元/吨附近，盘面利润</w:t>
      </w:r>
      <w:r>
        <w:rPr>
          <w:rFonts w:hint="eastAsia"/>
          <w:lang w:val="en-US" w:eastAsia="zh-CN"/>
        </w:rPr>
        <w:t>和</w:t>
      </w:r>
      <w:r>
        <w:rPr>
          <w:rFonts w:hint="eastAsia"/>
        </w:rPr>
        <w:t>现货利润</w:t>
      </w:r>
      <w:r>
        <w:rPr>
          <w:rFonts w:hint="eastAsia"/>
          <w:lang w:val="en-US" w:eastAsia="zh-CN"/>
        </w:rPr>
        <w:t>相当</w:t>
      </w:r>
      <w:r>
        <w:rPr>
          <w:rFonts w:hint="eastAsia"/>
        </w:rPr>
        <w:t>，期价出现大幅回调，基差重新从</w:t>
      </w:r>
      <w:r>
        <w:rPr>
          <w:rFonts w:hint="eastAsia"/>
          <w:lang w:val="en-US" w:eastAsia="zh-CN"/>
        </w:rPr>
        <w:t>210缩小到59</w:t>
      </w:r>
      <w:r>
        <w:rPr>
          <w:rFonts w:hint="eastAsia"/>
        </w:rPr>
        <w:t>，利润尚可，节后开工率依旧不低。</w:t>
      </w:r>
    </w:p>
    <w:p>
      <w:pPr>
        <w:widowControl/>
        <w:spacing w:line="360" w:lineRule="auto"/>
        <w:jc w:val="left"/>
        <w:rPr>
          <w:rFonts w:hint="eastAsia"/>
        </w:rPr>
      </w:pPr>
      <w:r>
        <w:rPr>
          <w:rFonts w:hint="eastAsia" w:ascii="宋体" w:hAnsi="宋体"/>
          <w:color w:val="333333"/>
          <w:shd w:val="clear" w:color="auto" w:fill="FFFFFF"/>
        </w:rPr>
        <w:t>图</w:t>
      </w:r>
      <w:r>
        <w:rPr>
          <w:rFonts w:hint="eastAsia" w:ascii="宋体" w:hAnsi="宋体"/>
          <w:color w:val="333333"/>
          <w:shd w:val="clear" w:color="auto" w:fill="FFFFFF"/>
          <w:lang w:val="en-US" w:eastAsia="zh-CN"/>
        </w:rPr>
        <w:t>7</w:t>
      </w:r>
      <w:r>
        <w:rPr>
          <w:rFonts w:hint="eastAsia" w:ascii="宋体" w:hAnsi="宋体"/>
          <w:color w:val="333333"/>
          <w:shd w:val="clear" w:color="auto" w:fill="FFFFFF"/>
        </w:rPr>
        <w:t>：螺纹盘面利润</w:t>
      </w:r>
    </w:p>
    <w:p>
      <w:pPr>
        <w:widowControl/>
        <w:spacing w:line="360" w:lineRule="auto"/>
        <w:jc w:val="left"/>
      </w:pPr>
      <w:r>
        <w:drawing>
          <wp:inline distT="0" distB="0" distL="114300" distR="114300">
            <wp:extent cx="6176010" cy="2052955"/>
            <wp:effectExtent l="0" t="0" r="15240" b="444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4"/>
                    <a:stretch>
                      <a:fillRect/>
                    </a:stretch>
                  </pic:blipFill>
                  <pic:spPr>
                    <a:xfrm>
                      <a:off x="0" y="0"/>
                      <a:ext cx="6176010" cy="2052955"/>
                    </a:xfrm>
                    <a:prstGeom prst="rect">
                      <a:avLst/>
                    </a:prstGeom>
                    <a:noFill/>
                    <a:ln w="9525">
                      <a:noFill/>
                    </a:ln>
                  </pic:spPr>
                </pic:pic>
              </a:graphicData>
            </a:graphic>
          </wp:inline>
        </w:drawing>
      </w:r>
    </w:p>
    <w:p>
      <w:pPr>
        <w:widowControl/>
        <w:spacing w:line="360" w:lineRule="auto"/>
        <w:jc w:val="left"/>
        <w:rPr>
          <w:rFonts w:hint="eastAsia"/>
        </w:rPr>
      </w:pPr>
      <w:r>
        <w:rPr>
          <w:rFonts w:hint="eastAsia" w:ascii="宋体" w:hAnsi="宋体"/>
          <w:color w:val="333333"/>
          <w:shd w:val="clear" w:color="auto" w:fill="FFFFFF"/>
        </w:rPr>
        <w:t>图</w:t>
      </w:r>
      <w:r>
        <w:rPr>
          <w:rFonts w:hint="eastAsia" w:ascii="宋体" w:hAnsi="宋体"/>
          <w:color w:val="333333"/>
          <w:shd w:val="clear" w:color="auto" w:fill="FFFFFF"/>
          <w:lang w:val="en-US" w:eastAsia="zh-CN"/>
        </w:rPr>
        <w:t>8</w:t>
      </w:r>
      <w:r>
        <w:rPr>
          <w:rFonts w:hint="eastAsia" w:ascii="宋体" w:hAnsi="宋体"/>
          <w:color w:val="333333"/>
          <w:shd w:val="clear" w:color="auto" w:fill="FFFFFF"/>
        </w:rPr>
        <w:t>：螺纹现货利润</w:t>
      </w:r>
    </w:p>
    <w:p>
      <w:pPr>
        <w:widowControl/>
        <w:spacing w:line="360" w:lineRule="auto"/>
        <w:jc w:val="left"/>
        <w:rPr>
          <w:rFonts w:hint="eastAsia"/>
        </w:rPr>
      </w:pPr>
      <w:r>
        <w:drawing>
          <wp:inline distT="0" distB="0" distL="114300" distR="114300">
            <wp:extent cx="6173470" cy="2142490"/>
            <wp:effectExtent l="0" t="0" r="17780" b="1016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5"/>
                    <a:stretch>
                      <a:fillRect/>
                    </a:stretch>
                  </pic:blipFill>
                  <pic:spPr>
                    <a:xfrm>
                      <a:off x="0" y="0"/>
                      <a:ext cx="6173470" cy="2142490"/>
                    </a:xfrm>
                    <a:prstGeom prst="rect">
                      <a:avLst/>
                    </a:prstGeom>
                    <a:noFill/>
                    <a:ln w="9525">
                      <a:noFill/>
                    </a:ln>
                  </pic:spPr>
                </pic:pic>
              </a:graphicData>
            </a:graphic>
          </wp:inline>
        </w:drawing>
      </w:r>
    </w:p>
    <w:p>
      <w:pPr>
        <w:spacing w:line="360" w:lineRule="auto"/>
        <w:ind w:firstLine="420" w:firstLineChars="200"/>
        <w:rPr>
          <w:rFonts w:hint="eastAsia"/>
        </w:rPr>
      </w:pPr>
      <w:r>
        <w:rPr>
          <w:rFonts w:hint="eastAsia"/>
        </w:rPr>
        <w:t>交易建议：在经济增速放缓的大环境下，钢材产量处于较高水平，元宵节”已经过罢，需求逐渐启动</w:t>
      </w:r>
      <w:r>
        <w:rPr>
          <w:rFonts w:hint="eastAsia"/>
          <w:lang w:eastAsia="zh-CN"/>
        </w:rPr>
        <w:t>，</w:t>
      </w:r>
      <w:r>
        <w:rPr>
          <w:rFonts w:hint="eastAsia"/>
          <w:lang w:val="en-US" w:eastAsia="zh-CN"/>
        </w:rPr>
        <w:t>环保加码，短期支撑期价。</w:t>
      </w:r>
      <w:r>
        <w:rPr>
          <w:rFonts w:hint="eastAsia"/>
        </w:rPr>
        <w:t>我们认为</w:t>
      </w:r>
      <w:r>
        <w:rPr>
          <w:rFonts w:hint="eastAsia"/>
          <w:lang w:val="en-US" w:eastAsia="zh-CN"/>
        </w:rPr>
        <w:t>长期来看，</w:t>
      </w:r>
      <w:r>
        <w:rPr>
          <w:rFonts w:hint="eastAsia"/>
        </w:rPr>
        <w:t>钢铁行业供需从紧平衡向供大于求转变。后期钢材利润收缩概率较大，</w:t>
      </w:r>
      <w:r>
        <w:rPr>
          <w:rFonts w:hint="eastAsia"/>
          <w:lang w:val="en-US" w:eastAsia="zh-CN"/>
        </w:rPr>
        <w:t>长线来看，</w:t>
      </w:r>
      <w:r>
        <w:rPr>
          <w:rFonts w:hint="eastAsia"/>
        </w:rPr>
        <w:t>螺纹钢</w:t>
      </w:r>
      <w:r>
        <w:rPr>
          <w:rFonts w:hint="eastAsia"/>
          <w:lang w:val="en-US" w:eastAsia="zh-CN"/>
        </w:rPr>
        <w:t>择机</w:t>
      </w:r>
      <w:r>
        <w:rPr>
          <w:rFonts w:hint="eastAsia"/>
        </w:rPr>
        <w:t>反弹抛空为主。同时，我们仍需关注以下潜在风险：宏观预期改善、环保力度超预期、节后需求超预期等。</w:t>
      </w:r>
    </w:p>
    <w:p>
      <w:pPr>
        <w:spacing w:line="360" w:lineRule="auto"/>
        <w:ind w:firstLine="420" w:firstLineChars="200"/>
        <w:rPr>
          <w:rFonts w:hint="eastAsia"/>
        </w:rPr>
      </w:pPr>
      <w:r>
        <w:rPr>
          <w:rFonts w:hint="eastAsia"/>
        </w:rPr>
        <w:t>铁矿石：</w:t>
      </w:r>
    </w:p>
    <w:p>
      <w:pPr>
        <w:widowControl/>
        <w:spacing w:line="360" w:lineRule="auto"/>
        <w:ind w:firstLine="420" w:firstLineChars="200"/>
        <w:jc w:val="left"/>
        <w:rPr>
          <w:rFonts w:hint="eastAsia"/>
        </w:rPr>
      </w:pPr>
      <w:r>
        <w:rPr>
          <w:rFonts w:hint="eastAsia"/>
        </w:rPr>
        <w:t>供应：矿山方面，力拓发货量因发往日韩比例增加，其中发往日本15条船，故发往中国量回落150万吨。BHP及FMG本期检修较少，发货量回归正常水平。品种方面，高品澳粉中PB粉及纽曼粉发货不畅，两者发货量环比下降150万吨，但从发货节奏来看，本期高品澳粉发货量仍略高于前六周发货均值。主流块矿及低品澳粉发货节奏亦回归至平均线附近。本周，港口检修未有增加迹象，预计发货量相对平稳。巴西发运量上周增加约160万吨，增量主要集中在PDM港口，事故辐射港口发运量近两周仅为此前的一半左右。短期内预计发运量难有进一步增加趋势。</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图</w:t>
      </w:r>
      <w:r>
        <w:rPr>
          <w:rFonts w:hint="eastAsia" w:ascii="宋体" w:hAnsi="宋体"/>
          <w:color w:val="333333"/>
          <w:shd w:val="clear" w:color="auto" w:fill="FFFFFF"/>
          <w:lang w:val="en-US" w:eastAsia="zh-CN"/>
        </w:rPr>
        <w:t>9</w:t>
      </w:r>
      <w:r>
        <w:rPr>
          <w:rFonts w:hint="eastAsia" w:ascii="宋体" w:hAnsi="宋体"/>
          <w:color w:val="333333"/>
          <w:shd w:val="clear" w:color="auto" w:fill="FFFFFF"/>
        </w:rPr>
        <w:t>：澳大利亚到中国总发货量</w:t>
      </w:r>
    </w:p>
    <w:p>
      <w:pPr>
        <w:widowControl/>
        <w:spacing w:line="360" w:lineRule="auto"/>
        <w:jc w:val="left"/>
        <w:rPr>
          <w:rFonts w:hint="eastAsia" w:ascii="宋体" w:hAnsi="宋体"/>
          <w:color w:val="333333"/>
          <w:shd w:val="clear" w:color="auto" w:fill="FFFFFF"/>
        </w:rPr>
      </w:pPr>
      <w:r>
        <w:drawing>
          <wp:inline distT="0" distB="0" distL="114300" distR="114300">
            <wp:extent cx="5419090" cy="2437765"/>
            <wp:effectExtent l="0" t="0" r="10160" b="63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6"/>
                    <a:stretch>
                      <a:fillRect/>
                    </a:stretch>
                  </pic:blipFill>
                  <pic:spPr>
                    <a:xfrm>
                      <a:off x="0" y="0"/>
                      <a:ext cx="5419090" cy="2437765"/>
                    </a:xfrm>
                    <a:prstGeom prst="rect">
                      <a:avLst/>
                    </a:prstGeom>
                    <a:noFill/>
                    <a:ln w="9525">
                      <a:noFill/>
                    </a:ln>
                  </pic:spPr>
                </pic:pic>
              </a:graphicData>
            </a:graphic>
          </wp:inline>
        </w:drawing>
      </w:r>
    </w:p>
    <w:p>
      <w:pPr>
        <w:widowControl/>
        <w:spacing w:line="360" w:lineRule="auto"/>
        <w:jc w:val="left"/>
        <w:rPr>
          <w:rFonts w:ascii="宋体" w:hAnsi="宋体"/>
          <w:color w:val="333333"/>
          <w:shd w:val="clear" w:color="auto" w:fill="FFFFFF"/>
        </w:rPr>
      </w:pPr>
      <w:r>
        <w:rPr>
          <w:rFonts w:hint="eastAsia" w:ascii="宋体" w:hAnsi="宋体"/>
          <w:color w:val="333333"/>
          <w:shd w:val="clear" w:color="auto" w:fill="FFFFFF"/>
        </w:rPr>
        <w:t>图</w:t>
      </w:r>
      <w:r>
        <w:rPr>
          <w:rFonts w:ascii="宋体" w:hAnsi="宋体"/>
          <w:color w:val="333333"/>
          <w:shd w:val="clear" w:color="auto" w:fill="FFFFFF"/>
        </w:rPr>
        <w:t>10</w:t>
      </w:r>
      <w:r>
        <w:rPr>
          <w:rFonts w:hint="eastAsia" w:ascii="宋体" w:hAnsi="宋体"/>
          <w:color w:val="333333"/>
          <w:shd w:val="clear" w:color="auto" w:fill="FFFFFF"/>
        </w:rPr>
        <w:t>：澳大利亚和巴西总发货量</w:t>
      </w:r>
    </w:p>
    <w:p>
      <w:pPr>
        <w:widowControl/>
        <w:spacing w:line="360" w:lineRule="auto"/>
        <w:jc w:val="left"/>
        <w:rPr>
          <w:rFonts w:ascii="宋体" w:hAnsi="宋体"/>
          <w:color w:val="333333"/>
          <w:shd w:val="clear" w:color="auto" w:fill="FFFFFF"/>
        </w:rPr>
      </w:pPr>
      <w:r>
        <w:drawing>
          <wp:inline distT="0" distB="0" distL="114300" distR="114300">
            <wp:extent cx="5361940" cy="2190115"/>
            <wp:effectExtent l="0" t="0" r="10160" b="63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7"/>
                    <a:stretch>
                      <a:fillRect/>
                    </a:stretch>
                  </pic:blipFill>
                  <pic:spPr>
                    <a:xfrm>
                      <a:off x="0" y="0"/>
                      <a:ext cx="5361940" cy="2190115"/>
                    </a:xfrm>
                    <a:prstGeom prst="rect">
                      <a:avLst/>
                    </a:prstGeom>
                    <a:noFill/>
                    <a:ln w="9525">
                      <a:noFill/>
                    </a:ln>
                  </pic:spPr>
                </pic:pic>
              </a:graphicData>
            </a:graphic>
          </wp:inline>
        </w:drawing>
      </w:r>
    </w:p>
    <w:p>
      <w:pPr>
        <w:widowControl/>
        <w:spacing w:line="360" w:lineRule="auto"/>
        <w:jc w:val="left"/>
        <w:rPr>
          <w:rFonts w:hint="eastAsia" w:ascii="宋体" w:hAnsi="宋体"/>
          <w:color w:val="333333"/>
          <w:shd w:val="clear" w:color="auto" w:fill="FFFFFF"/>
          <w:lang w:val="en-US" w:eastAsia="zh-CN"/>
        </w:rPr>
      </w:pPr>
      <w:r>
        <w:rPr>
          <w:rFonts w:hint="eastAsia" w:ascii="宋体" w:hAnsi="宋体"/>
          <w:color w:val="333333"/>
          <w:shd w:val="clear" w:color="auto" w:fill="FFFFFF"/>
        </w:rPr>
        <w:t>图</w:t>
      </w:r>
      <w:r>
        <w:rPr>
          <w:rFonts w:ascii="宋体" w:hAnsi="宋体"/>
          <w:color w:val="333333"/>
          <w:shd w:val="clear" w:color="auto" w:fill="FFFFFF"/>
        </w:rPr>
        <w:t>11</w:t>
      </w:r>
      <w:r>
        <w:rPr>
          <w:rFonts w:hint="eastAsia" w:ascii="宋体" w:hAnsi="宋体"/>
          <w:color w:val="333333"/>
          <w:shd w:val="clear" w:color="auto" w:fill="FFFFFF"/>
        </w:rPr>
        <w:t>：</w:t>
      </w:r>
      <w:r>
        <w:rPr>
          <w:rFonts w:hint="eastAsia" w:ascii="宋体" w:hAnsi="宋体"/>
          <w:color w:val="333333"/>
          <w:shd w:val="clear" w:color="auto" w:fill="FFFFFF"/>
          <w:lang w:val="en-US" w:eastAsia="zh-CN"/>
        </w:rPr>
        <w:t>全国开工率</w:t>
      </w:r>
    </w:p>
    <w:p>
      <w:pPr>
        <w:widowControl/>
        <w:spacing w:line="360" w:lineRule="auto"/>
        <w:jc w:val="left"/>
        <w:rPr>
          <w:rFonts w:hint="eastAsia" w:ascii="宋体" w:hAnsi="宋体"/>
          <w:color w:val="333333"/>
          <w:shd w:val="clear" w:color="auto" w:fill="FFFFFF"/>
          <w:lang w:val="en-US" w:eastAsia="zh-CN"/>
        </w:rPr>
      </w:pPr>
      <w:r>
        <w:drawing>
          <wp:inline distT="0" distB="0" distL="114300" distR="114300">
            <wp:extent cx="5447665" cy="2095500"/>
            <wp:effectExtent l="0" t="0" r="635"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8"/>
                    <a:stretch>
                      <a:fillRect/>
                    </a:stretch>
                  </pic:blipFill>
                  <pic:spPr>
                    <a:xfrm>
                      <a:off x="0" y="0"/>
                      <a:ext cx="5447665" cy="2095500"/>
                    </a:xfrm>
                    <a:prstGeom prst="rect">
                      <a:avLst/>
                    </a:prstGeom>
                    <a:noFill/>
                    <a:ln w="9525">
                      <a:noFill/>
                    </a:ln>
                  </pic:spPr>
                </pic:pic>
              </a:graphicData>
            </a:graphic>
          </wp:inline>
        </w:drawing>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需求：经历了三年的去产能，钢厂基本完成压减粗钢产能1.5 亿吨的上限目标;同时，2018 年环保限产接过供给侧改革的大旗，从较为严厉到秋冬季禁止“一刀切”，环保限产对市场造成的冲击也逐渐减弱。截至2 月</w:t>
      </w:r>
      <w:r>
        <w:rPr>
          <w:rFonts w:hint="eastAsia" w:ascii="宋体" w:hAnsi="宋体"/>
          <w:color w:val="333333"/>
          <w:shd w:val="clear" w:color="auto" w:fill="FFFFFF"/>
          <w:lang w:val="en-US" w:eastAsia="zh-CN"/>
        </w:rPr>
        <w:t>22</w:t>
      </w:r>
      <w:r>
        <w:rPr>
          <w:rFonts w:hint="eastAsia" w:ascii="宋体" w:hAnsi="宋体"/>
          <w:color w:val="333333"/>
          <w:shd w:val="clear" w:color="auto" w:fill="FFFFFF"/>
        </w:rPr>
        <w:t xml:space="preserve"> 日，全国高炉开工率65.75%，较去年同期高</w:t>
      </w:r>
      <w:r>
        <w:rPr>
          <w:rFonts w:hint="eastAsia" w:ascii="宋体" w:hAnsi="宋体"/>
          <w:color w:val="333333"/>
          <w:shd w:val="clear" w:color="auto" w:fill="FFFFFF"/>
          <w:lang w:val="en-US" w:eastAsia="zh-CN"/>
        </w:rPr>
        <w:t>3.04</w:t>
      </w:r>
      <w:r>
        <w:rPr>
          <w:rFonts w:hint="eastAsia" w:ascii="宋体" w:hAnsi="宋体"/>
          <w:color w:val="333333"/>
          <w:shd w:val="clear" w:color="auto" w:fill="FFFFFF"/>
        </w:rPr>
        <w:t>%</w:t>
      </w:r>
      <w:r>
        <w:rPr>
          <w:rFonts w:hint="eastAsia" w:ascii="宋体" w:hAnsi="宋体"/>
          <w:color w:val="333333"/>
          <w:shd w:val="clear" w:color="auto" w:fill="FFFFFF"/>
          <w:lang w:eastAsia="zh-CN"/>
        </w:rPr>
        <w:t>，</w:t>
      </w:r>
      <w:r>
        <w:rPr>
          <w:rFonts w:hint="eastAsia" w:ascii="宋体" w:hAnsi="宋体"/>
          <w:color w:val="333333"/>
          <w:shd w:val="clear" w:color="auto" w:fill="FFFFFF"/>
        </w:rPr>
        <w:t>供应易增难减。随着环保松码，</w:t>
      </w:r>
      <w:r>
        <w:rPr>
          <w:rFonts w:hint="eastAsia" w:ascii="宋体" w:hAnsi="宋体"/>
          <w:color w:val="333333"/>
          <w:shd w:val="clear" w:color="auto" w:fill="FFFFFF"/>
          <w:lang w:val="en-US" w:eastAsia="zh-CN"/>
        </w:rPr>
        <w:t>钢企复产，</w:t>
      </w:r>
      <w:r>
        <w:rPr>
          <w:rFonts w:hint="eastAsia" w:ascii="宋体" w:hAnsi="宋体"/>
          <w:color w:val="333333"/>
          <w:shd w:val="clear" w:color="auto" w:fill="FFFFFF"/>
        </w:rPr>
        <w:t>预计2019 年钢厂开工率和产量增速将明显高于去年同期，从而利多对铁矿的补库需求。</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本周全国港口日均疏港量为283.3万吨，环比上周上涨16.5万吨。节后两周疏港均值275.03万吨与去年同期基本相当。从区域疏港来看，华东主港疏港增幅明显，环比增长10万吨，但主要以钢厂到货疏港为主，本周港口贸易矿成交放缓，贸易商库存增加明显；其他区域疏港略有增加，但增量相对较小。从品种疏港来看，高品澳粉日均疏港量环比上期增加11万吨，其中以纽曼粉增加最为明显，增幅84%以基本达至年平均疏港水平。</w:t>
      </w:r>
    </w:p>
    <w:p>
      <w:pPr>
        <w:widowControl/>
        <w:spacing w:line="360" w:lineRule="auto"/>
        <w:jc w:val="left"/>
        <w:rPr>
          <w:rFonts w:hint="eastAsia" w:ascii="宋体" w:hAnsi="宋体"/>
          <w:color w:val="333333"/>
          <w:shd w:val="clear" w:color="auto" w:fill="FFFFFF"/>
          <w:lang w:val="en-US" w:eastAsia="zh-CN"/>
        </w:rPr>
      </w:pPr>
      <w:r>
        <w:rPr>
          <w:rFonts w:hint="eastAsia" w:ascii="宋体" w:hAnsi="宋体"/>
          <w:color w:val="333333"/>
          <w:shd w:val="clear" w:color="auto" w:fill="FFFFFF"/>
        </w:rPr>
        <w:t>图</w:t>
      </w:r>
      <w:r>
        <w:rPr>
          <w:rFonts w:ascii="宋体" w:hAnsi="宋体"/>
          <w:color w:val="333333"/>
          <w:shd w:val="clear" w:color="auto" w:fill="FFFFFF"/>
        </w:rPr>
        <w:t>1</w:t>
      </w:r>
      <w:r>
        <w:rPr>
          <w:rFonts w:hint="eastAsia" w:ascii="宋体" w:hAnsi="宋体"/>
          <w:color w:val="333333"/>
          <w:shd w:val="clear" w:color="auto" w:fill="FFFFFF"/>
          <w:lang w:val="en-US" w:eastAsia="zh-CN"/>
        </w:rPr>
        <w:t>2</w:t>
      </w:r>
      <w:r>
        <w:rPr>
          <w:rFonts w:hint="eastAsia" w:ascii="宋体" w:hAnsi="宋体"/>
          <w:color w:val="333333"/>
          <w:shd w:val="clear" w:color="auto" w:fill="FFFFFF"/>
        </w:rPr>
        <w:t>：</w:t>
      </w:r>
      <w:r>
        <w:rPr>
          <w:rFonts w:hint="eastAsia" w:ascii="宋体" w:hAnsi="宋体"/>
          <w:color w:val="333333"/>
          <w:shd w:val="clear" w:color="auto" w:fill="FFFFFF"/>
          <w:lang w:val="en-US" w:eastAsia="zh-CN"/>
        </w:rPr>
        <w:t>铁矿日均疏港量</w:t>
      </w:r>
    </w:p>
    <w:p>
      <w:pPr>
        <w:widowControl/>
        <w:spacing w:line="360" w:lineRule="auto"/>
        <w:jc w:val="left"/>
        <w:rPr>
          <w:rFonts w:hint="eastAsia" w:ascii="宋体" w:hAnsi="宋体"/>
          <w:color w:val="333333"/>
          <w:shd w:val="clear" w:color="auto" w:fill="FFFFFF"/>
        </w:rPr>
      </w:pPr>
      <w:r>
        <w:drawing>
          <wp:inline distT="0" distB="0" distL="114300" distR="114300">
            <wp:extent cx="4742815" cy="2380615"/>
            <wp:effectExtent l="0" t="0" r="635" b="63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19"/>
                    <a:stretch>
                      <a:fillRect/>
                    </a:stretch>
                  </pic:blipFill>
                  <pic:spPr>
                    <a:xfrm>
                      <a:off x="0" y="0"/>
                      <a:ext cx="4742815" cy="2380615"/>
                    </a:xfrm>
                    <a:prstGeom prst="rect">
                      <a:avLst/>
                    </a:prstGeom>
                    <a:noFill/>
                    <a:ln w="9525">
                      <a:noFill/>
                    </a:ln>
                  </pic:spPr>
                </pic:pic>
              </a:graphicData>
            </a:graphic>
          </wp:inline>
        </w:drawing>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品种间价差：目前受利润下滑影响，为了降低成本，钢厂对高品澳粉需求下降明显，低品矿需求回</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升。截至2 月</w:t>
      </w:r>
      <w:r>
        <w:rPr>
          <w:rFonts w:hint="eastAsia" w:ascii="宋体" w:hAnsi="宋体"/>
          <w:color w:val="333333"/>
          <w:shd w:val="clear" w:color="auto" w:fill="FFFFFF"/>
          <w:lang w:val="en-US" w:eastAsia="zh-CN"/>
        </w:rPr>
        <w:t>22</w:t>
      </w:r>
      <w:r>
        <w:rPr>
          <w:rFonts w:hint="eastAsia" w:ascii="宋体" w:hAnsi="宋体"/>
          <w:color w:val="333333"/>
          <w:shd w:val="clear" w:color="auto" w:fill="FFFFFF"/>
        </w:rPr>
        <w:t>日，65%的卡粉和61.5%的PB 粉价差为</w:t>
      </w:r>
      <w:r>
        <w:rPr>
          <w:rFonts w:hint="eastAsia" w:ascii="宋体" w:hAnsi="宋体"/>
          <w:color w:val="333333"/>
          <w:shd w:val="clear" w:color="auto" w:fill="FFFFFF"/>
          <w:lang w:val="en-US" w:eastAsia="zh-CN"/>
        </w:rPr>
        <w:t>107</w:t>
      </w:r>
      <w:r>
        <w:rPr>
          <w:rFonts w:hint="eastAsia" w:ascii="宋体" w:hAnsi="宋体"/>
          <w:color w:val="333333"/>
          <w:shd w:val="clear" w:color="auto" w:fill="FFFFFF"/>
        </w:rPr>
        <w:t xml:space="preserve"> 元/吨，较8 底的高点回落1</w:t>
      </w:r>
      <w:r>
        <w:rPr>
          <w:rFonts w:hint="eastAsia" w:ascii="宋体" w:hAnsi="宋体"/>
          <w:color w:val="333333"/>
          <w:shd w:val="clear" w:color="auto" w:fill="FFFFFF"/>
          <w:lang w:val="en-US" w:eastAsia="zh-CN"/>
        </w:rPr>
        <w:t>4</w:t>
      </w:r>
      <w:r>
        <w:rPr>
          <w:rFonts w:hint="eastAsia" w:ascii="宋体" w:hAnsi="宋体"/>
          <w:color w:val="333333"/>
          <w:shd w:val="clear" w:color="auto" w:fill="FFFFFF"/>
        </w:rPr>
        <w:t>8 元/吨，高低品价差不断收敛。后期随着高低品价差进一步收敛，高品矿优势凸显，出于性价比考虑，钢厂会增加对中高品矿的需求，进而对盘面形成支撑。</w:t>
      </w:r>
    </w:p>
    <w:p>
      <w:pPr>
        <w:widowControl/>
        <w:spacing w:line="360" w:lineRule="auto"/>
        <w:jc w:val="left"/>
      </w:pPr>
      <w:r>
        <w:rPr>
          <w:rFonts w:hint="eastAsia"/>
        </w:rPr>
        <w:t>图</w:t>
      </w:r>
      <w:r>
        <w:t>1</w:t>
      </w:r>
      <w:r>
        <w:rPr>
          <w:rFonts w:hint="eastAsia"/>
          <w:lang w:val="en-US" w:eastAsia="zh-CN"/>
        </w:rPr>
        <w:t>3</w:t>
      </w:r>
      <w:r>
        <w:rPr>
          <w:rFonts w:hint="eastAsia"/>
        </w:rPr>
        <w:t>：卡粉和 PB 粉品种间溢价</w:t>
      </w:r>
    </w:p>
    <w:p>
      <w:pPr>
        <w:widowControl/>
        <w:spacing w:line="360" w:lineRule="auto"/>
        <w:ind w:firstLine="420" w:firstLineChars="200"/>
        <w:jc w:val="left"/>
      </w:pPr>
    </w:p>
    <w:p>
      <w:pPr>
        <w:widowControl/>
        <w:spacing w:line="360" w:lineRule="auto"/>
        <w:jc w:val="left"/>
      </w:pPr>
      <w:r>
        <w:drawing>
          <wp:inline distT="0" distB="0" distL="114300" distR="114300">
            <wp:extent cx="5257165" cy="1894840"/>
            <wp:effectExtent l="0" t="0" r="635" b="1016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20"/>
                    <a:stretch>
                      <a:fillRect/>
                    </a:stretch>
                  </pic:blipFill>
                  <pic:spPr>
                    <a:xfrm>
                      <a:off x="0" y="0"/>
                      <a:ext cx="5257165" cy="1894840"/>
                    </a:xfrm>
                    <a:prstGeom prst="rect">
                      <a:avLst/>
                    </a:prstGeom>
                    <a:noFill/>
                    <a:ln w="9525">
                      <a:noFill/>
                    </a:ln>
                  </pic:spPr>
                </pic:pic>
              </a:graphicData>
            </a:graphic>
          </wp:inline>
        </w:drawing>
      </w:r>
    </w:p>
    <w:p>
      <w:pPr>
        <w:widowControl/>
        <w:spacing w:line="360" w:lineRule="auto"/>
        <w:jc w:val="left"/>
      </w:pPr>
      <w:r>
        <w:rPr>
          <w:rFonts w:hint="eastAsia"/>
        </w:rPr>
        <w:t>图</w:t>
      </w:r>
      <w:r>
        <w:rPr>
          <w:rFonts w:hint="eastAsia"/>
          <w:lang w:val="en-US" w:eastAsia="zh-CN"/>
        </w:rPr>
        <w:t>14</w:t>
      </w:r>
      <w:r>
        <w:rPr>
          <w:rFonts w:hint="eastAsia"/>
        </w:rPr>
        <w:t>：铁矿石港口库存走势图</w:t>
      </w:r>
    </w:p>
    <w:p>
      <w:pPr>
        <w:widowControl/>
        <w:spacing w:line="360" w:lineRule="auto"/>
        <w:jc w:val="left"/>
        <w:rPr>
          <w:rFonts w:ascii="宋体" w:hAnsi="宋体"/>
          <w:color w:val="333333"/>
          <w:shd w:val="clear" w:color="auto" w:fill="FFFFFF"/>
        </w:rPr>
      </w:pPr>
      <w:r>
        <w:drawing>
          <wp:inline distT="0" distB="0" distL="114300" distR="114300">
            <wp:extent cx="5561965" cy="2180590"/>
            <wp:effectExtent l="0" t="0" r="635" b="1016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1"/>
                    <a:stretch>
                      <a:fillRect/>
                    </a:stretch>
                  </pic:blipFill>
                  <pic:spPr>
                    <a:xfrm>
                      <a:off x="0" y="0"/>
                      <a:ext cx="5561965" cy="2180590"/>
                    </a:xfrm>
                    <a:prstGeom prst="rect">
                      <a:avLst/>
                    </a:prstGeom>
                    <a:noFill/>
                    <a:ln w="9525">
                      <a:noFill/>
                    </a:ln>
                  </pic:spPr>
                </pic:pic>
              </a:graphicData>
            </a:graphic>
          </wp:inline>
        </w:drawing>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成本：前期矿价持续低位运行之后，成本线在60 美金附近的矿山面临很大生产压力，基于成本因素</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很多中小矿山减、停产。因巴西事故影响，</w:t>
      </w:r>
      <w:r>
        <w:rPr>
          <w:rFonts w:hint="eastAsia" w:ascii="宋体" w:hAnsi="宋体"/>
          <w:color w:val="333333"/>
          <w:shd w:val="clear" w:color="auto" w:fill="FFFFFF"/>
          <w:lang w:val="en-US" w:eastAsia="zh-CN"/>
        </w:rPr>
        <w:t>目前</w:t>
      </w:r>
      <w:r>
        <w:rPr>
          <w:rFonts w:hint="eastAsia" w:ascii="宋体" w:hAnsi="宋体"/>
          <w:color w:val="333333"/>
          <w:shd w:val="clear" w:color="auto" w:fill="FFFFFF"/>
        </w:rPr>
        <w:t>价格</w:t>
      </w:r>
      <w:r>
        <w:rPr>
          <w:rFonts w:hint="eastAsia" w:ascii="宋体" w:hAnsi="宋体"/>
          <w:color w:val="333333"/>
          <w:shd w:val="clear" w:color="auto" w:fill="FFFFFF"/>
          <w:lang w:val="en-US" w:eastAsia="zh-CN"/>
        </w:rPr>
        <w:t>在86.7</w:t>
      </w:r>
      <w:r>
        <w:rPr>
          <w:rFonts w:hint="eastAsia" w:ascii="宋体" w:hAnsi="宋体"/>
          <w:color w:val="333333"/>
          <w:shd w:val="clear" w:color="auto" w:fill="FFFFFF"/>
        </w:rPr>
        <w:t>美元附近，</w:t>
      </w:r>
      <w:r>
        <w:rPr>
          <w:rFonts w:hint="eastAsia" w:ascii="宋体" w:hAnsi="宋体"/>
          <w:color w:val="333333"/>
          <w:shd w:val="clear" w:color="auto" w:fill="FFFFFF"/>
          <w:lang w:val="en-US" w:eastAsia="zh-CN"/>
        </w:rPr>
        <w:t>中小矿山也处于盈利阶段</w:t>
      </w:r>
      <w:r>
        <w:rPr>
          <w:rFonts w:hint="eastAsia" w:ascii="宋体" w:hAnsi="宋体"/>
          <w:color w:val="333333"/>
          <w:shd w:val="clear" w:color="auto" w:fill="FFFFFF"/>
        </w:rPr>
        <w:t>。目前</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矿山利润回升，需关注前期停产的中小矿山恢复情况。</w:t>
      </w:r>
    </w:p>
    <w:p>
      <w:pPr>
        <w:widowControl/>
        <w:spacing w:line="360" w:lineRule="auto"/>
        <w:ind w:firstLine="420" w:firstLineChars="200"/>
        <w:jc w:val="left"/>
        <w:rPr>
          <w:rFonts w:hint="eastAsia" w:ascii="宋体" w:hAnsi="宋体"/>
          <w:color w:val="333333"/>
          <w:shd w:val="clear" w:color="auto" w:fill="FFFFFF"/>
        </w:rPr>
      </w:pPr>
      <w:r>
        <w:rPr>
          <w:rFonts w:hint="eastAsia" w:ascii="宋体" w:hAnsi="宋体"/>
          <w:color w:val="333333"/>
          <w:shd w:val="clear" w:color="auto" w:fill="FFFFFF"/>
        </w:rPr>
        <w:t>交易建议：铁矿供需出现好转，港口库存</w:t>
      </w:r>
      <w:r>
        <w:rPr>
          <w:rFonts w:hint="eastAsia" w:ascii="宋体" w:hAnsi="宋体"/>
          <w:color w:val="333333"/>
          <w:shd w:val="clear" w:color="auto" w:fill="FFFFFF"/>
          <w:lang w:val="en-US" w:eastAsia="zh-CN"/>
        </w:rPr>
        <w:t>小幅回升</w:t>
      </w:r>
      <w:r>
        <w:rPr>
          <w:rFonts w:hint="eastAsia" w:ascii="宋体" w:hAnsi="宋体"/>
          <w:color w:val="333333"/>
          <w:shd w:val="clear" w:color="auto" w:fill="FFFFFF"/>
        </w:rPr>
        <w:t>，钢厂</w:t>
      </w:r>
      <w:r>
        <w:rPr>
          <w:rFonts w:hint="eastAsia" w:ascii="宋体" w:hAnsi="宋体"/>
          <w:color w:val="333333"/>
          <w:shd w:val="clear" w:color="auto" w:fill="FFFFFF"/>
          <w:lang w:val="en-US" w:eastAsia="zh-CN"/>
        </w:rPr>
        <w:t>复产</w:t>
      </w:r>
      <w:r>
        <w:rPr>
          <w:rFonts w:hint="eastAsia" w:ascii="宋体" w:hAnsi="宋体"/>
          <w:color w:val="333333"/>
          <w:shd w:val="clear" w:color="auto" w:fill="FFFFFF"/>
        </w:rPr>
        <w:t>有补库空间，对铁矿形成较强支撑。但</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在经济增速放缓的大环境下，钢铁行业或转向供大于求，钢材利润收缩，单边追多铁矿风险较大，建议稳</w:t>
      </w:r>
    </w:p>
    <w:p>
      <w:pPr>
        <w:widowControl/>
        <w:spacing w:line="360" w:lineRule="auto"/>
        <w:jc w:val="left"/>
        <w:rPr>
          <w:rFonts w:hint="eastAsia" w:ascii="宋体" w:hAnsi="宋体"/>
          <w:color w:val="333333"/>
          <w:shd w:val="clear" w:color="auto" w:fill="FFFFFF"/>
        </w:rPr>
      </w:pPr>
      <w:r>
        <w:rPr>
          <w:rFonts w:hint="eastAsia" w:ascii="宋体" w:hAnsi="宋体"/>
          <w:color w:val="333333"/>
          <w:shd w:val="clear" w:color="auto" w:fill="FFFFFF"/>
        </w:rPr>
        <w:t>健的投资者可以尝试买铁矿抛螺纹操作。同时，我们仍需关注以下潜在风险：环保力度超预期、节后补库</w:t>
      </w:r>
    </w:p>
    <w:p>
      <w:pPr>
        <w:widowControl/>
        <w:spacing w:line="360" w:lineRule="auto"/>
        <w:jc w:val="left"/>
        <w:rPr>
          <w:rFonts w:hint="eastAsia"/>
          <w:color w:val="000000"/>
          <w:szCs w:val="21"/>
          <w:shd w:val="clear" w:color="auto" w:fill="FFFFFF"/>
        </w:rPr>
      </w:pPr>
      <w:r>
        <w:rPr>
          <w:rFonts w:hint="eastAsia" w:ascii="宋体" w:hAnsi="宋体"/>
          <w:color w:val="333333"/>
          <w:shd w:val="clear" w:color="auto" w:fill="FFFFFF"/>
        </w:rPr>
        <w:t>不及预期、成材利润回升等。</w:t>
      </w:r>
    </w:p>
    <w:p>
      <w:pPr>
        <w:keepNext w:val="0"/>
        <w:keepLines w:val="0"/>
        <w:pageBreakBefore w:val="0"/>
        <w:tabs>
          <w:tab w:val="left" w:pos="3804"/>
        </w:tabs>
        <w:kinsoku/>
        <w:wordWrap/>
        <w:overflowPunct/>
        <w:topLinePunct w:val="0"/>
        <w:autoSpaceDE/>
        <w:autoSpaceDN/>
        <w:bidi w:val="0"/>
        <w:adjustRightInd/>
        <w:snapToGrid/>
        <w:spacing w:line="480" w:lineRule="auto"/>
        <w:ind w:left="0" w:leftChars="0" w:firstLine="281" w:firstLineChars="100"/>
        <w:jc w:val="both"/>
        <w:textAlignment w:val="auto"/>
        <w:outlineLvl w:val="9"/>
        <w:rPr>
          <w:rFonts w:hint="eastAsia" w:ascii="宋体" w:hAnsi="宋体" w:eastAsia="宋体" w:cs="宋体"/>
          <w:b/>
          <w:kern w:val="0"/>
          <w:sz w:val="28"/>
          <w:szCs w:val="28"/>
          <w:lang w:val="en-US" w:eastAsia="zh-CN"/>
        </w:rPr>
      </w:pPr>
      <w:r>
        <w:rPr>
          <w:rFonts w:hint="eastAsia" w:ascii="宋体" w:hAnsi="宋体" w:cs="宋体"/>
          <w:b/>
          <w:kern w:val="0"/>
          <w:sz w:val="28"/>
          <w:szCs w:val="28"/>
          <w:lang w:val="en-US" w:eastAsia="zh-CN"/>
        </w:rPr>
        <w:t>化工板块：</w:t>
      </w:r>
    </w:p>
    <w:p>
      <w:pPr>
        <w:keepNext w:val="0"/>
        <w:keepLines w:val="0"/>
        <w:pageBreakBefore w:val="0"/>
        <w:tabs>
          <w:tab w:val="left" w:pos="3804"/>
        </w:tabs>
        <w:kinsoku/>
        <w:wordWrap/>
        <w:overflowPunct/>
        <w:topLinePunct w:val="0"/>
        <w:autoSpaceDE/>
        <w:autoSpaceDN/>
        <w:bidi w:val="0"/>
        <w:adjustRightInd/>
        <w:snapToGrid/>
        <w:spacing w:line="480" w:lineRule="auto"/>
        <w:ind w:left="0" w:leftChars="0" w:firstLine="241" w:firstLineChars="100"/>
        <w:jc w:val="both"/>
        <w:textAlignment w:val="auto"/>
        <w:outlineLvl w:val="9"/>
        <w:rPr>
          <w:rFonts w:hint="eastAsia" w:ascii="宋体" w:hAnsi="宋体" w:cs="宋体"/>
          <w:b/>
          <w:bCs/>
          <w:kern w:val="0"/>
          <w:sz w:val="24"/>
          <w:szCs w:val="24"/>
        </w:rPr>
      </w:pPr>
      <w:r>
        <w:rPr>
          <w:rFonts w:hint="eastAsia" w:ascii="宋体" w:hAnsi="宋体" w:cs="宋体"/>
          <w:b/>
          <w:kern w:val="0"/>
          <w:sz w:val="24"/>
          <w:szCs w:val="24"/>
        </w:rPr>
        <w:t>原油：</w:t>
      </w:r>
      <w:r>
        <w:rPr>
          <w:rFonts w:hint="eastAsia" w:ascii="宋体" w:hAnsi="宋体" w:cs="宋体"/>
          <w:b/>
          <w:bCs/>
          <w:kern w:val="0"/>
          <w:sz w:val="24"/>
          <w:szCs w:val="24"/>
        </w:rPr>
        <w:t>欧佩克减产履行效果明显，原油大幅上涨</w:t>
      </w:r>
    </w:p>
    <w:p>
      <w:pPr>
        <w:keepNext w:val="0"/>
        <w:keepLines w:val="0"/>
        <w:pageBreakBefore w:val="0"/>
        <w:widowControl w:val="0"/>
        <w:tabs>
          <w:tab w:val="left" w:pos="3804"/>
        </w:tabs>
        <w:kinsoku/>
        <w:wordWrap/>
        <w:overflowPunct/>
        <w:topLinePunct w:val="0"/>
        <w:autoSpaceDE/>
        <w:autoSpaceDN/>
        <w:bidi w:val="0"/>
        <w:adjustRightInd/>
        <w:snapToGrid/>
        <w:spacing w:line="400" w:lineRule="exact"/>
        <w:ind w:left="0" w:leftChars="0" w:right="0" w:rightChars="0" w:firstLine="422" w:firstLineChars="200"/>
        <w:jc w:val="both"/>
        <w:textAlignment w:val="auto"/>
        <w:outlineLvl w:val="9"/>
        <w:rPr>
          <w:rFonts w:hint="eastAsia" w:ascii="宋体" w:hAnsi="宋体" w:cs="宋体"/>
          <w:kern w:val="0"/>
          <w:szCs w:val="24"/>
        </w:rPr>
      </w:pPr>
      <w:r>
        <w:rPr>
          <w:rFonts w:hint="eastAsia" w:ascii="宋体" w:hAnsi="宋体" w:cs="宋体"/>
          <w:b/>
          <w:kern w:val="0"/>
          <w:szCs w:val="24"/>
        </w:rPr>
        <w:t>供需：</w:t>
      </w:r>
      <w:r>
        <w:rPr>
          <w:rFonts w:hint="eastAsia" w:ascii="宋体" w:hAnsi="宋体" w:cs="宋体"/>
          <w:kern w:val="0"/>
          <w:szCs w:val="24"/>
        </w:rPr>
        <w:t xml:space="preserve">本周受OPEC履行减产协议影响，供应端受挫驱动原油价格大幅上涨。沙特阿拉伯等国家减产意愿强烈超出预期，关闭了海上油田；委内瑞拉和伊朗等国家因受美国制裁而出现非自愿减产行为，导致国际油价大幅利好。但美国原油产量进一步上升，创历史新高。美国原油钻机数本周+3至857，进一步增加。  </w:t>
      </w:r>
    </w:p>
    <w:p>
      <w:pPr>
        <w:keepNext w:val="0"/>
        <w:keepLines w:val="0"/>
        <w:pageBreakBefore w:val="0"/>
        <w:widowControl w:val="0"/>
        <w:tabs>
          <w:tab w:val="left" w:pos="3804"/>
        </w:tabs>
        <w:kinsoku/>
        <w:wordWrap/>
        <w:overflowPunct/>
        <w:topLinePunct w:val="0"/>
        <w:autoSpaceDE/>
        <w:autoSpaceDN/>
        <w:bidi w:val="0"/>
        <w:adjustRightInd/>
        <w:snapToGrid/>
        <w:spacing w:line="400" w:lineRule="exact"/>
        <w:ind w:left="0" w:leftChars="0" w:right="0" w:rightChars="0" w:firstLine="422" w:firstLineChars="200"/>
        <w:jc w:val="both"/>
        <w:textAlignment w:val="auto"/>
        <w:outlineLvl w:val="9"/>
      </w:pPr>
      <w:r>
        <w:rPr>
          <w:rFonts w:hint="eastAsia" w:ascii="宋体" w:hAnsi="宋体" w:cs="宋体"/>
          <w:b/>
          <w:kern w:val="0"/>
          <w:szCs w:val="24"/>
        </w:rPr>
        <w:t>库存：</w:t>
      </w:r>
      <w:r>
        <w:t>本周美国原油库存连续五周增长至</w:t>
      </w:r>
      <w:r>
        <w:rPr>
          <w:rFonts w:hint="eastAsia"/>
        </w:rPr>
        <w:t>2017年10月以来最高水平，且库存同比近一歩攀升。但是美国炼油厂开工率较低，成品油库存下降，因而整体来说库存上涨目前对国际油价影响未有体现。</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420"/>
        <w:jc w:val="both"/>
        <w:textAlignment w:val="auto"/>
        <w:outlineLvl w:val="9"/>
        <w:rPr>
          <w:rFonts w:hint="eastAsia" w:ascii="宋体" w:hAnsi="宋体" w:cs="宋体"/>
          <w:kern w:val="0"/>
          <w:szCs w:val="24"/>
        </w:rPr>
      </w:pPr>
      <w:r>
        <w:rPr>
          <w:rFonts w:hint="eastAsia" w:ascii="宋体" w:hAnsi="宋体" w:cs="宋体"/>
          <w:b/>
          <w:kern w:val="0"/>
          <w:szCs w:val="24"/>
        </w:rPr>
        <w:t>宏观：</w:t>
      </w:r>
      <w:r>
        <w:rPr>
          <w:rFonts w:hint="eastAsia" w:ascii="宋体" w:hAnsi="宋体" w:cs="宋体"/>
          <w:kern w:val="0"/>
          <w:szCs w:val="24"/>
        </w:rPr>
        <w:t>中美贸易谈判异常顺利，释放出积极信号，提振了市场信心，加强了市场风险偏好情绪。同时美国发布经济数据不达预期，同时美联储会议纪要偏鸽派短期继续施压美元导致美元汇率小幅下跌，美元遭削弱，总体利好油价。综合来看，宏观基本面利多油价，原油短期仍有上涨可能，同时原油上涨也利多下游沥青价格。</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jc w:val="both"/>
        <w:textAlignment w:val="auto"/>
        <w:outlineLvl w:val="9"/>
      </w:pPr>
      <w:r>
        <w:rPr>
          <w:rFonts w:hint="eastAsia" w:ascii="宋体" w:hAnsi="宋体" w:cs="宋体"/>
          <w:kern w:val="0"/>
          <w:szCs w:val="24"/>
        </w:rPr>
        <w:t xml:space="preserve">    </w:t>
      </w:r>
      <w:r>
        <w:rPr>
          <w:rFonts w:hint="eastAsia" w:ascii="宋体" w:hAnsi="宋体" w:cs="宋体"/>
          <w:b/>
          <w:kern w:val="0"/>
          <w:szCs w:val="24"/>
        </w:rPr>
        <w:t>综合观点：</w:t>
      </w:r>
      <w:r>
        <w:rPr>
          <w:rFonts w:hint="eastAsia" w:ascii="宋体" w:hAnsi="宋体" w:cs="宋体"/>
          <w:kern w:val="0"/>
          <w:szCs w:val="24"/>
        </w:rPr>
        <w:t>供需面上看原油较为乐观：供给端OPEC减产效果明显，沙特等国自愿减产行为、以及委内瑞拉等国的非自愿减产行为大幅利多国际油价，使油价本周出现利好行情；美国原油产量与库存随连续上涨，创历史新高，但炼厂开工率低，成品油库存低，目前对市场影响较小，后续需持续关注美国炼厂开工情况。宏观面来看，中美贸易谈判进展顺利，短期达成停战协议，提振市场信心。同时美国经济数据不及预期导致美元受挫，利多油价。盘面看，本周原油供给驱动行情明显。后续密切关注美国原油产库情况，操作上SC1904前期多单建议逢高离场。</w:t>
      </w:r>
    </w:p>
    <w:p>
      <w:pPr>
        <w:widowControl/>
        <w:shd w:val="clear" w:color="auto" w:fill="FFFFFF"/>
        <w:spacing w:line="420" w:lineRule="atLeast"/>
        <w:ind w:right="80" w:firstLine="527" w:firstLineChars="250"/>
        <w:jc w:val="center"/>
        <w:rPr>
          <w:rFonts w:hint="eastAsia" w:ascii="宋体" w:hAnsi="宋体" w:cs="宋体"/>
          <w:b/>
          <w:kern w:val="0"/>
          <w:szCs w:val="24"/>
        </w:rPr>
      </w:pPr>
      <w:r>
        <w:rPr>
          <w:rFonts w:hint="eastAsia" w:ascii="宋体" w:hAnsi="宋体" w:cs="宋体"/>
          <w:b/>
          <w:kern w:val="0"/>
          <w:szCs w:val="24"/>
        </w:rPr>
        <w:t xml:space="preserve">         图1：原油期货日线图                      图2：IPE布油和NYMEX轻质原油日线图</w:t>
      </w:r>
    </w:p>
    <w:p>
      <w:pPr>
        <w:widowControl/>
        <w:shd w:val="clear" w:color="auto" w:fill="FFFFFF"/>
        <w:spacing w:line="420" w:lineRule="atLeast"/>
        <w:ind w:right="80"/>
        <w:jc w:val="left"/>
        <w:rPr>
          <w:rFonts w:ascii="宋体" w:hAnsi="宋体" w:cs="宋体"/>
          <w:kern w:val="0"/>
          <w:szCs w:val="24"/>
        </w:rPr>
      </w:pPr>
      <w:r>
        <w:rPr>
          <w:rFonts w:ascii="宋体" w:hAnsi="宋体" w:cs="宋体"/>
          <w:kern w:val="0"/>
          <w:szCs w:val="24"/>
        </w:rPr>
        <w:drawing>
          <wp:inline distT="0" distB="0" distL="0" distR="0">
            <wp:extent cx="6179820" cy="2106295"/>
            <wp:effectExtent l="0" t="0" r="11430" b="8255"/>
            <wp:docPr id="41" name="图片 2" descr="C:\Users\ADMINI~1\AppData\Local\Temp\1550823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C:\Users\ADMINI~1\AppData\Local\Temp\1550823051(1).png"/>
                    <pic:cNvPicPr>
                      <a:picLocks noChangeAspect="1" noChangeArrowheads="1"/>
                    </pic:cNvPicPr>
                  </pic:nvPicPr>
                  <pic:blipFill>
                    <a:blip r:embed="rId22"/>
                    <a:srcRect/>
                    <a:stretch>
                      <a:fillRect/>
                    </a:stretch>
                  </pic:blipFill>
                  <pic:spPr>
                    <a:xfrm>
                      <a:off x="0" y="0"/>
                      <a:ext cx="6179820" cy="2106839"/>
                    </a:xfrm>
                    <a:prstGeom prst="rect">
                      <a:avLst/>
                    </a:prstGeom>
                    <a:noFill/>
                    <a:ln w="9525">
                      <a:noFill/>
                      <a:miter lim="800000"/>
                      <a:headEnd/>
                      <a:tailEnd/>
                    </a:ln>
                  </pic:spPr>
                </pic:pic>
              </a:graphicData>
            </a:graphic>
          </wp:inline>
        </w:drawing>
      </w:r>
    </w:p>
    <w:p>
      <w:pPr>
        <w:widowControl/>
        <w:shd w:val="clear" w:color="auto" w:fill="FFFFFF"/>
        <w:spacing w:line="420" w:lineRule="atLeast"/>
        <w:ind w:right="80" w:firstLine="527" w:firstLineChars="250"/>
        <w:jc w:val="center"/>
        <w:rPr>
          <w:rFonts w:hint="eastAsia" w:ascii="宋体" w:hAnsi="宋体" w:cs="宋体"/>
          <w:kern w:val="0"/>
          <w:szCs w:val="24"/>
        </w:rPr>
      </w:pPr>
      <w:r>
        <w:rPr>
          <w:rFonts w:hint="eastAsia" w:ascii="宋体" w:hAnsi="宋体" w:cs="宋体"/>
          <w:b/>
          <w:kern w:val="0"/>
          <w:szCs w:val="24"/>
        </w:rPr>
        <w:t>图3：WTI原油价格日线图                   图4：W-B价差</w:t>
      </w:r>
    </w:p>
    <w:p>
      <w:pPr>
        <w:widowControl/>
        <w:shd w:val="clear" w:color="auto" w:fill="FFFFFF"/>
        <w:spacing w:line="420" w:lineRule="atLeast"/>
        <w:ind w:right="80"/>
        <w:jc w:val="left"/>
        <w:rPr>
          <w:rFonts w:ascii="宋体" w:hAnsi="宋体" w:cs="宋体"/>
          <w:kern w:val="0"/>
          <w:szCs w:val="24"/>
        </w:rPr>
      </w:pPr>
      <w:r>
        <w:rPr>
          <w:rFonts w:ascii="宋体" w:hAnsi="宋体" w:cs="宋体"/>
          <w:kern w:val="0"/>
          <w:szCs w:val="24"/>
        </w:rPr>
        <w:drawing>
          <wp:inline distT="0" distB="0" distL="0" distR="0">
            <wp:extent cx="6479540" cy="2242185"/>
            <wp:effectExtent l="0" t="0" r="16510" b="5715"/>
            <wp:docPr id="42" name="图片 3" descr="C:\Users\ADMINI~1\AppData\Local\Temp\1550823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C:\Users\ADMINI~1\AppData\Local\Temp\1550823113(1).png"/>
                    <pic:cNvPicPr>
                      <a:picLocks noChangeAspect="1" noChangeArrowheads="1"/>
                    </pic:cNvPicPr>
                  </pic:nvPicPr>
                  <pic:blipFill>
                    <a:blip r:embed="rId23"/>
                    <a:srcRect/>
                    <a:stretch>
                      <a:fillRect/>
                    </a:stretch>
                  </pic:blipFill>
                  <pic:spPr>
                    <a:xfrm>
                      <a:off x="0" y="0"/>
                      <a:ext cx="6480000" cy="2242341"/>
                    </a:xfrm>
                    <a:prstGeom prst="rect">
                      <a:avLst/>
                    </a:prstGeom>
                    <a:noFill/>
                    <a:ln w="9525">
                      <a:noFill/>
                      <a:miter lim="800000"/>
                      <a:headEnd/>
                      <a:tailEnd/>
                    </a:ln>
                  </pic:spPr>
                </pic:pic>
              </a:graphicData>
            </a:graphic>
          </wp:inline>
        </w:drawing>
      </w:r>
    </w:p>
    <w:p>
      <w:pPr>
        <w:widowControl/>
        <w:shd w:val="clear" w:color="auto" w:fill="FFFFFF"/>
        <w:spacing w:line="420" w:lineRule="atLeast"/>
        <w:ind w:right="80" w:firstLine="527" w:firstLineChars="250"/>
        <w:jc w:val="left"/>
        <w:rPr>
          <w:rFonts w:hint="eastAsia" w:ascii="宋体" w:hAnsi="宋体" w:cs="宋体"/>
          <w:b/>
          <w:kern w:val="0"/>
          <w:szCs w:val="24"/>
        </w:rPr>
      </w:pPr>
      <w:r>
        <w:rPr>
          <w:rFonts w:hint="eastAsia" w:ascii="宋体" w:hAnsi="宋体" w:cs="宋体"/>
          <w:b/>
          <w:kern w:val="0"/>
          <w:szCs w:val="24"/>
        </w:rPr>
        <w:t xml:space="preserve">      图5：美国原油产量图                               6：欧佩克原油产量</w:t>
      </w:r>
      <w:r>
        <w:rPr>
          <w:rFonts w:ascii="宋体" w:hAnsi="宋体" w:cs="宋体"/>
          <w:b/>
          <w:kern w:val="0"/>
          <w:szCs w:val="24"/>
        </w:rPr>
        <w:drawing>
          <wp:inline distT="0" distB="0" distL="0" distR="0">
            <wp:extent cx="6479540" cy="2192020"/>
            <wp:effectExtent l="0" t="0" r="16510" b="17780"/>
            <wp:docPr id="43" name="图片 4" descr="C:\Users\ADMINI~1\AppData\Local\Temp\1550823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C:\Users\ADMINI~1\AppData\Local\Temp\1550823141(1).png"/>
                    <pic:cNvPicPr>
                      <a:picLocks noChangeAspect="1" noChangeArrowheads="1"/>
                    </pic:cNvPicPr>
                  </pic:nvPicPr>
                  <pic:blipFill>
                    <a:blip r:embed="rId24"/>
                    <a:srcRect/>
                    <a:stretch>
                      <a:fillRect/>
                    </a:stretch>
                  </pic:blipFill>
                  <pic:spPr>
                    <a:xfrm>
                      <a:off x="0" y="0"/>
                      <a:ext cx="6480000" cy="2192580"/>
                    </a:xfrm>
                    <a:prstGeom prst="rect">
                      <a:avLst/>
                    </a:prstGeom>
                    <a:noFill/>
                    <a:ln w="9525">
                      <a:no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b/>
          <w:kern w:val="0"/>
          <w:szCs w:val="24"/>
        </w:rPr>
      </w:pPr>
    </w:p>
    <w:p>
      <w:pPr>
        <w:widowControl/>
        <w:shd w:val="clear" w:color="auto" w:fill="FFFFFF"/>
        <w:spacing w:line="420" w:lineRule="atLeast"/>
        <w:ind w:right="80" w:firstLine="527" w:firstLineChars="250"/>
        <w:jc w:val="left"/>
        <w:rPr>
          <w:rFonts w:hint="eastAsia" w:ascii="宋体" w:hAnsi="宋体" w:cs="宋体"/>
          <w:b/>
          <w:kern w:val="0"/>
          <w:szCs w:val="24"/>
        </w:rPr>
      </w:pPr>
      <w:r>
        <w:rPr>
          <w:rFonts w:hint="eastAsia" w:ascii="宋体" w:hAnsi="宋体" w:cs="宋体"/>
          <w:b/>
          <w:kern w:val="0"/>
          <w:szCs w:val="24"/>
        </w:rPr>
        <w:t xml:space="preserve">    图7：美国原油钻机数                     图8：原油库存</w:t>
      </w:r>
    </w:p>
    <w:p>
      <w:pPr>
        <w:widowControl/>
        <w:shd w:val="clear" w:color="auto" w:fill="FFFFFF"/>
        <w:spacing w:line="420" w:lineRule="atLeast"/>
        <w:ind w:right="80"/>
        <w:rPr>
          <w:rFonts w:ascii="宋体" w:hAnsi="宋体" w:cs="宋体"/>
          <w:kern w:val="0"/>
          <w:szCs w:val="24"/>
        </w:rPr>
      </w:pPr>
      <w:r>
        <w:rPr>
          <w:rFonts w:ascii="宋体" w:hAnsi="宋体" w:cs="宋体"/>
          <w:kern w:val="0"/>
          <w:szCs w:val="24"/>
        </w:rPr>
        <w:drawing>
          <wp:inline distT="0" distB="0" distL="0" distR="0">
            <wp:extent cx="6479540" cy="2178685"/>
            <wp:effectExtent l="0" t="0" r="16510" b="12065"/>
            <wp:docPr id="44" name="图片 7" descr="C:\Users\ADMINI~1\AppData\Local\Temp\1550823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C:\Users\ADMINI~1\AppData\Local\Temp\1550823158(1).png"/>
                    <pic:cNvPicPr>
                      <a:picLocks noChangeAspect="1" noChangeArrowheads="1"/>
                    </pic:cNvPicPr>
                  </pic:nvPicPr>
                  <pic:blipFill>
                    <a:blip r:embed="rId25"/>
                    <a:srcRect/>
                    <a:stretch>
                      <a:fillRect/>
                    </a:stretch>
                  </pic:blipFill>
                  <pic:spPr>
                    <a:xfrm>
                      <a:off x="0" y="0"/>
                      <a:ext cx="6480000" cy="2178708"/>
                    </a:xfrm>
                    <a:prstGeom prst="rect">
                      <a:avLst/>
                    </a:prstGeom>
                    <a:noFill/>
                    <a:ln w="9525">
                      <a:noFill/>
                      <a:miter lim="800000"/>
                      <a:headEnd/>
                      <a:tailEnd/>
                    </a:ln>
                  </pic:spPr>
                </pic:pic>
              </a:graphicData>
            </a:graphic>
          </wp:inline>
        </w:drawing>
      </w:r>
    </w:p>
    <w:p>
      <w:pPr>
        <w:widowControl/>
        <w:shd w:val="clear" w:color="auto" w:fill="FFFFFF"/>
        <w:spacing w:line="420" w:lineRule="atLeast"/>
        <w:ind w:right="80" w:firstLine="527" w:firstLineChars="250"/>
        <w:jc w:val="left"/>
        <w:rPr>
          <w:rFonts w:hint="eastAsia" w:ascii="宋体" w:hAnsi="宋体" w:cs="宋体"/>
          <w:b/>
          <w:kern w:val="0"/>
          <w:szCs w:val="24"/>
        </w:rPr>
      </w:pPr>
      <w:r>
        <w:rPr>
          <w:rFonts w:hint="eastAsia" w:ascii="宋体" w:hAnsi="宋体" w:cs="宋体"/>
          <w:b/>
          <w:kern w:val="0"/>
          <w:szCs w:val="24"/>
        </w:rPr>
        <w:t xml:space="preserve">    </w:t>
      </w:r>
    </w:p>
    <w:p>
      <w:pPr>
        <w:widowControl/>
        <w:shd w:val="clear" w:color="auto" w:fill="FFFFFF"/>
        <w:spacing w:line="420" w:lineRule="atLeast"/>
        <w:ind w:right="80"/>
        <w:jc w:val="left"/>
        <w:rPr>
          <w:rFonts w:hint="eastAsia" w:ascii="宋体" w:hAnsi="宋体" w:cs="宋体"/>
          <w:b/>
          <w:kern w:val="0"/>
          <w:szCs w:val="24"/>
        </w:rPr>
      </w:pPr>
    </w:p>
    <w:p>
      <w:pPr>
        <w:widowControl/>
        <w:shd w:val="clear" w:color="auto" w:fill="FFFFFF"/>
        <w:spacing w:line="420" w:lineRule="atLeast"/>
        <w:ind w:right="80" w:firstLine="527" w:firstLineChars="250"/>
        <w:jc w:val="left"/>
        <w:rPr>
          <w:rFonts w:hint="eastAsia" w:ascii="宋体" w:hAnsi="宋体" w:cs="宋体"/>
          <w:b/>
          <w:kern w:val="0"/>
          <w:szCs w:val="24"/>
        </w:rPr>
      </w:pPr>
      <w:r>
        <w:rPr>
          <w:rFonts w:hint="eastAsia" w:ascii="宋体" w:hAnsi="宋体" w:cs="宋体"/>
          <w:b/>
          <w:kern w:val="0"/>
          <w:szCs w:val="24"/>
        </w:rPr>
        <w:t xml:space="preserve"> 图9：即期汇率（欧元兑美元、人民币兑美元）          图10：美元指数</w:t>
      </w:r>
    </w:p>
    <w:p>
      <w:pPr>
        <w:widowControl/>
        <w:shd w:val="clear" w:color="auto" w:fill="FFFFFF"/>
        <w:spacing w:line="420" w:lineRule="atLeast"/>
        <w:ind w:right="80"/>
        <w:jc w:val="left"/>
        <w:rPr>
          <w:rFonts w:ascii="宋体" w:hAnsi="宋体" w:cs="宋体"/>
          <w:b/>
          <w:kern w:val="0"/>
          <w:szCs w:val="24"/>
        </w:rPr>
      </w:pPr>
      <w:r>
        <w:rPr>
          <w:rFonts w:ascii="宋体" w:hAnsi="宋体" w:cs="宋体"/>
          <w:kern w:val="0"/>
          <w:szCs w:val="24"/>
        </w:rPr>
        <w:drawing>
          <wp:inline distT="0" distB="0" distL="0" distR="0">
            <wp:extent cx="6479540" cy="2214245"/>
            <wp:effectExtent l="0" t="0" r="16510" b="14605"/>
            <wp:docPr id="45" name="图片 8" descr="C:\Users\ADMINI~1\AppData\Local\Temp\1550823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C:\Users\ADMINI~1\AppData\Local\Temp\1550823253(1).png"/>
                    <pic:cNvPicPr>
                      <a:picLocks noChangeAspect="1" noChangeArrowheads="1"/>
                    </pic:cNvPicPr>
                  </pic:nvPicPr>
                  <pic:blipFill>
                    <a:blip r:embed="rId26"/>
                    <a:srcRect/>
                    <a:stretch>
                      <a:fillRect/>
                    </a:stretch>
                  </pic:blipFill>
                  <pic:spPr>
                    <a:xfrm>
                      <a:off x="0" y="0"/>
                      <a:ext cx="6480000" cy="2214870"/>
                    </a:xfrm>
                    <a:prstGeom prst="rect">
                      <a:avLst/>
                    </a:prstGeom>
                    <a:noFill/>
                    <a:ln w="9525">
                      <a:noFill/>
                      <a:miter lim="800000"/>
                      <a:headEnd/>
                      <a:tailEnd/>
                    </a:ln>
                  </pic:spPr>
                </pic:pic>
              </a:graphicData>
            </a:graphic>
          </wp:inline>
        </w:drawing>
      </w:r>
      <w:r>
        <w:rPr>
          <w:rFonts w:hint="eastAsia" w:ascii="宋体" w:hAnsi="宋体" w:cs="宋体"/>
          <w:b/>
          <w:kern w:val="0"/>
          <w:szCs w:val="24"/>
        </w:rPr>
        <w:t xml:space="preserve"> 注：以上图表数据来源于卓创资讯、wind资讯，新世纪期货整理</w:t>
      </w:r>
    </w:p>
    <w:p>
      <w:pPr>
        <w:widowControl/>
        <w:shd w:val="clear" w:color="auto" w:fill="FFFFFF"/>
        <w:spacing w:line="420" w:lineRule="atLeast"/>
        <w:ind w:right="80" w:firstLine="602" w:firstLineChars="250"/>
        <w:rPr>
          <w:rFonts w:hint="eastAsia" w:ascii="宋体" w:hAnsi="宋体" w:cs="宋体"/>
          <w:b/>
          <w:kern w:val="0"/>
          <w:sz w:val="24"/>
          <w:szCs w:val="24"/>
        </w:rPr>
      </w:pPr>
    </w:p>
    <w:p>
      <w:pPr>
        <w:widowControl/>
        <w:shd w:val="clear" w:color="auto" w:fill="FFFFFF"/>
        <w:spacing w:line="420" w:lineRule="atLeast"/>
        <w:ind w:right="80" w:firstLine="602" w:firstLineChars="250"/>
        <w:rPr>
          <w:rFonts w:ascii="宋体" w:hAnsi="宋体" w:cs="宋体"/>
          <w:b/>
          <w:kern w:val="0"/>
          <w:sz w:val="24"/>
          <w:szCs w:val="24"/>
        </w:rPr>
      </w:pPr>
      <w:r>
        <w:rPr>
          <w:rFonts w:hint="eastAsia" w:ascii="宋体" w:hAnsi="宋体" w:cs="宋体"/>
          <w:b/>
          <w:kern w:val="0"/>
          <w:sz w:val="24"/>
          <w:szCs w:val="24"/>
        </w:rPr>
        <w:t>PTA：</w:t>
      </w:r>
      <w:r>
        <w:rPr>
          <w:rFonts w:hint="eastAsia" w:ascii="宋体" w:hAnsi="宋体" w:cs="宋体"/>
          <w:b/>
          <w:bCs/>
          <w:kern w:val="0"/>
          <w:sz w:val="24"/>
          <w:szCs w:val="24"/>
        </w:rPr>
        <w:t>需求尚未发力，短期偏震荡，中期走高概况较大</w:t>
      </w:r>
    </w:p>
    <w:p>
      <w:pPr>
        <w:widowControl/>
        <w:shd w:val="clear" w:color="auto" w:fill="FFFFFF"/>
        <w:spacing w:line="420" w:lineRule="atLeast"/>
        <w:ind w:right="80" w:firstLine="525" w:firstLineChars="250"/>
        <w:rPr>
          <w:rFonts w:ascii="宋体" w:hAnsi="宋体" w:cs="宋体"/>
          <w:kern w:val="0"/>
          <w:szCs w:val="24"/>
        </w:rPr>
      </w:pPr>
      <w:r>
        <w:rPr>
          <w:rFonts w:hint="eastAsia" w:ascii="宋体" w:hAnsi="宋体" w:cs="宋体"/>
          <w:kern w:val="0"/>
          <w:szCs w:val="24"/>
        </w:rPr>
        <w:t>供应：本周PTA装置重启与检修并存：宁波逸盛220万吨装置故障于2月15日短停降负；华彬石化 140万吨装置处于停车阶段；扬子石化35万吨装置于2月20日重启；佳龙石化60万吨装置于2月21日起进入检修阶段。截止到周五，PTA开工率 82.77%，较上周下滑 0.49%。PTA工厂陆续公布3月份检修计划，预计后市开工率将有回落。</w:t>
      </w:r>
    </w:p>
    <w:p>
      <w:pPr>
        <w:widowControl/>
        <w:shd w:val="clear" w:color="auto" w:fill="FFFFFF"/>
        <w:spacing w:line="420" w:lineRule="atLeast"/>
        <w:ind w:right="80"/>
      </w:pPr>
      <w:r>
        <w:rPr>
          <w:rFonts w:hint="eastAsia"/>
        </w:rPr>
        <w:t xml:space="preserve">     需求：</w:t>
      </w:r>
      <w:r>
        <w:rPr>
          <w:rFonts w:ascii="宋体" w:hAnsi="宋体" w:cs="宋体"/>
          <w:kern w:val="0"/>
          <w:szCs w:val="24"/>
        </w:rPr>
        <w:t>截止到本周五，聚酯行业开工负荷由上周五</w:t>
      </w:r>
      <w:r>
        <w:rPr>
          <w:rFonts w:hint="eastAsia" w:ascii="宋体" w:hAnsi="宋体" w:cs="宋体"/>
          <w:kern w:val="0"/>
          <w:szCs w:val="24"/>
        </w:rPr>
        <w:t>79%</w:t>
      </w:r>
      <w:r>
        <w:rPr>
          <w:rFonts w:ascii="宋体" w:hAnsi="宋体" w:cs="宋体"/>
          <w:kern w:val="0"/>
          <w:szCs w:val="24"/>
        </w:rPr>
        <w:t>提升至8</w:t>
      </w:r>
      <w:r>
        <w:rPr>
          <w:rFonts w:hint="eastAsia" w:ascii="宋体" w:hAnsi="宋体" w:cs="宋体"/>
          <w:kern w:val="0"/>
          <w:szCs w:val="24"/>
        </w:rPr>
        <w:t>2</w:t>
      </w:r>
      <w:r>
        <w:rPr>
          <w:rFonts w:ascii="宋体" w:hAnsi="宋体" w:cs="宋体"/>
          <w:kern w:val="0"/>
          <w:szCs w:val="24"/>
        </w:rPr>
        <w:t>%</w:t>
      </w:r>
      <w:r>
        <w:rPr>
          <w:rFonts w:hint="eastAsia" w:ascii="宋体" w:hAnsi="宋体" w:cs="宋体"/>
          <w:kern w:val="0"/>
          <w:szCs w:val="24"/>
        </w:rPr>
        <w:t>；</w:t>
      </w:r>
      <w:r>
        <w:rPr>
          <w:rFonts w:hint="eastAsia"/>
        </w:rPr>
        <w:t>江浙织机开机率恢复至51%，较上周增加了30个百分点。虽然织机开机率逐步提升，但本周聚酯产销表现低迷，且聚酯工厂成品库存在逐步累积，较高已经累积至25-30天。下周聚酯整体产销难有较大起色，库存仍大概率进一步累库。</w:t>
      </w:r>
    </w:p>
    <w:p>
      <w:pPr>
        <w:widowControl/>
        <w:shd w:val="clear" w:color="auto" w:fill="FFFFFF"/>
        <w:spacing w:line="420" w:lineRule="atLeast"/>
        <w:ind w:right="80"/>
      </w:pPr>
      <w:r>
        <w:rPr>
          <w:rFonts w:hint="eastAsia" w:ascii="宋体" w:hAnsi="宋体" w:cs="宋体"/>
          <w:kern w:val="0"/>
          <w:szCs w:val="24"/>
        </w:rPr>
        <w:t xml:space="preserve">    库存：本周社会库存攀升至117万吨，较前一周增长8万吨，较去年同期略有增长，但总体上库存仍处于历史同期低位</w:t>
      </w:r>
      <w:r>
        <w:t>。</w:t>
      </w:r>
    </w:p>
    <w:p>
      <w:pPr>
        <w:widowControl/>
        <w:shd w:val="clear" w:color="auto" w:fill="FFFFFF"/>
        <w:spacing w:line="420" w:lineRule="atLeast"/>
        <w:ind w:right="80" w:firstLine="420"/>
        <w:rPr>
          <w:rFonts w:ascii="宋体" w:hAnsi="宋体" w:cs="宋体"/>
          <w:kern w:val="0"/>
          <w:szCs w:val="24"/>
        </w:rPr>
      </w:pPr>
      <w:r>
        <w:rPr>
          <w:rFonts w:hint="eastAsia" w:ascii="宋体" w:hAnsi="宋体" w:cs="宋体"/>
          <w:kern w:val="0"/>
          <w:szCs w:val="24"/>
        </w:rPr>
        <w:t>利润：PTA加工费用回落至低600元/吨，处于偏低水平，主要因本周上游PX走势偏强，但PTA现货价格走弱。本周国际油价及亚洲PX整体呈现稳中偏强走势。PX新增产能投放不及预期、第二季度集中检修预期，叠加国内需求能力增强，进而整体供需格局优势显现，商谈价格呈现稳中偏强走势。</w:t>
      </w:r>
    </w:p>
    <w:p>
      <w:pPr>
        <w:widowControl/>
        <w:shd w:val="clear" w:color="auto" w:fill="FFFFFF"/>
        <w:spacing w:line="420" w:lineRule="atLeast"/>
        <w:ind w:right="80"/>
      </w:pPr>
      <w:r>
        <w:rPr>
          <w:rFonts w:hint="eastAsia" w:ascii="宋体" w:hAnsi="宋体" w:cs="宋体"/>
          <w:kern w:val="0"/>
          <w:szCs w:val="24"/>
        </w:rPr>
        <w:t xml:space="preserve">    综合观点：聚酯工厂原料库存和产成品库存较高，继续消化节前备货为主，需求端尚未发力，导致PTA价格显露颓势，社会库存持续累积。不过，PTA后市检修增加，以及上游原油、PX价格坚挺导致的成本支撑较强，PTA价格回落空间也较为有限。盘面看，PTA价格短期回落目标位已经完成，TA1905合约震荡向上概率比较大，建议单边做多，或5-9正套。</w:t>
      </w:r>
    </w:p>
    <w:p>
      <w:pPr>
        <w:widowControl/>
        <w:shd w:val="clear" w:color="auto" w:fill="FFFFFF"/>
        <w:spacing w:line="420" w:lineRule="atLeast"/>
        <w:ind w:right="80" w:firstLine="527" w:firstLineChars="250"/>
        <w:jc w:val="center"/>
        <w:rPr>
          <w:rFonts w:ascii="宋体" w:hAnsi="宋体" w:cs="宋体"/>
          <w:kern w:val="0"/>
          <w:szCs w:val="24"/>
        </w:rPr>
      </w:pPr>
      <w:r>
        <w:rPr>
          <w:rFonts w:hint="eastAsia" w:ascii="宋体" w:hAnsi="宋体" w:cs="宋体"/>
          <w:b/>
          <w:kern w:val="0"/>
          <w:szCs w:val="24"/>
        </w:rPr>
        <w:t>图1：布油日线图                             图2：PTA日线图</w:t>
      </w:r>
      <w:r>
        <w:rPr>
          <w:rFonts w:hint="eastAsia" w:ascii="宋体" w:hAnsi="宋体" w:cs="宋体"/>
          <w:b/>
          <w:kern w:val="0"/>
          <w:szCs w:val="24"/>
        </w:rPr>
        <w:drawing>
          <wp:inline distT="0" distB="0" distL="0" distR="0">
            <wp:extent cx="3055620" cy="2147570"/>
            <wp:effectExtent l="19050" t="19050" r="11189" b="23726"/>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7" cstate="print"/>
                    <a:srcRect/>
                    <a:stretch>
                      <a:fillRect/>
                    </a:stretch>
                  </pic:blipFill>
                  <pic:spPr>
                    <a:xfrm>
                      <a:off x="0" y="0"/>
                      <a:ext cx="3056118" cy="2148155"/>
                    </a:xfrm>
                    <a:prstGeom prst="rect">
                      <a:avLst/>
                    </a:prstGeom>
                    <a:noFill/>
                    <a:ln w="9525">
                      <a:solidFill>
                        <a:schemeClr val="accent1"/>
                      </a:solidFill>
                      <a:miter lim="800000"/>
                      <a:headEnd/>
                      <a:tailEnd/>
                    </a:ln>
                  </pic:spPr>
                </pic:pic>
              </a:graphicData>
            </a:graphic>
          </wp:inline>
        </w:drawing>
      </w:r>
      <w:r>
        <w:rPr>
          <w:rFonts w:hint="eastAsia" w:ascii="宋体" w:hAnsi="宋体" w:cs="宋体"/>
          <w:b/>
          <w:kern w:val="0"/>
          <w:szCs w:val="24"/>
        </w:rPr>
        <w:drawing>
          <wp:inline distT="0" distB="0" distL="0" distR="0">
            <wp:extent cx="2939415" cy="2141855"/>
            <wp:effectExtent l="19050" t="19050" r="13335" b="10606"/>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8" cstate="print"/>
                    <a:srcRect/>
                    <a:stretch>
                      <a:fillRect/>
                    </a:stretch>
                  </pic:blipFill>
                  <pic:spPr>
                    <a:xfrm>
                      <a:off x="0" y="0"/>
                      <a:ext cx="2933304" cy="2137591"/>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center"/>
        <w:rPr>
          <w:rFonts w:ascii="宋体" w:hAnsi="宋体" w:cs="宋体"/>
          <w:kern w:val="0"/>
          <w:szCs w:val="24"/>
        </w:rPr>
      </w:pPr>
      <w:r>
        <w:rPr>
          <w:rFonts w:hint="eastAsia" w:ascii="宋体" w:hAnsi="宋体" w:cs="宋体"/>
          <w:b/>
          <w:kern w:val="0"/>
          <w:szCs w:val="24"/>
        </w:rPr>
        <w:t>图3：PTA加工费（元/吨）                   图4：PTA加工利润（元/吨）</w:t>
      </w:r>
      <w:r>
        <w:rPr>
          <w:rFonts w:hint="eastAsia" w:ascii="宋体" w:hAnsi="宋体" w:cs="宋体"/>
          <w:b/>
          <w:kern w:val="0"/>
          <w:szCs w:val="24"/>
        </w:rPr>
        <w:drawing>
          <wp:inline distT="0" distB="0" distL="0" distR="0">
            <wp:extent cx="6180455" cy="2190750"/>
            <wp:effectExtent l="19050" t="19050" r="10606" b="190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9" cstate="print"/>
                    <a:srcRect/>
                    <a:stretch>
                      <a:fillRect/>
                    </a:stretch>
                  </pic:blipFill>
                  <pic:spPr>
                    <a:xfrm>
                      <a:off x="0" y="0"/>
                      <a:ext cx="6179820" cy="2190458"/>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b/>
          <w:kern w:val="0"/>
          <w:szCs w:val="24"/>
        </w:rPr>
      </w:pPr>
      <w:r>
        <w:rPr>
          <w:rFonts w:hint="eastAsia" w:ascii="宋体" w:hAnsi="宋体" w:cs="宋体"/>
          <w:b/>
          <w:kern w:val="0"/>
          <w:szCs w:val="24"/>
        </w:rPr>
        <w:t xml:space="preserve">      图5：原油与PX走势                         图6：PX加工利润率</w:t>
      </w:r>
      <w:r>
        <w:rPr>
          <w:rFonts w:hint="eastAsia" w:ascii="宋体" w:hAnsi="宋体" w:cs="宋体"/>
          <w:b/>
          <w:kern w:val="0"/>
          <w:szCs w:val="24"/>
        </w:rPr>
        <w:drawing>
          <wp:inline distT="0" distB="0" distL="0" distR="0">
            <wp:extent cx="6181725" cy="2245995"/>
            <wp:effectExtent l="19050" t="19050" r="28402" b="20782"/>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30" cstate="print"/>
                    <a:srcRect/>
                    <a:stretch>
                      <a:fillRect/>
                    </a:stretch>
                  </pic:blipFill>
                  <pic:spPr>
                    <a:xfrm>
                      <a:off x="0" y="0"/>
                      <a:ext cx="6179820" cy="2245413"/>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Cs w:val="24"/>
        </w:rPr>
      </w:pPr>
      <w:r>
        <w:rPr>
          <w:rFonts w:hint="eastAsia" w:ascii="宋体" w:hAnsi="宋体" w:cs="宋体"/>
          <w:b/>
          <w:kern w:val="0"/>
          <w:szCs w:val="24"/>
        </w:rPr>
        <w:t xml:space="preserve">    图7：PTA装置开工率（%）                     图8：聚酯行业开工率（%）</w:t>
      </w:r>
      <w:r>
        <w:rPr>
          <w:rFonts w:hint="eastAsia" w:ascii="宋体" w:hAnsi="宋体" w:cs="宋体"/>
          <w:b/>
          <w:kern w:val="0"/>
          <w:szCs w:val="24"/>
        </w:rPr>
        <w:drawing>
          <wp:inline distT="0" distB="0" distL="0" distR="0">
            <wp:extent cx="6182995" cy="2343150"/>
            <wp:effectExtent l="19050" t="19050" r="27017" b="1905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1" cstate="print"/>
                    <a:srcRect/>
                    <a:stretch>
                      <a:fillRect/>
                    </a:stretch>
                  </pic:blipFill>
                  <pic:spPr>
                    <a:xfrm>
                      <a:off x="0" y="0"/>
                      <a:ext cx="6179820" cy="2341838"/>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Cs w:val="24"/>
        </w:rPr>
      </w:pPr>
      <w:r>
        <w:rPr>
          <w:rFonts w:hint="eastAsia" w:ascii="宋体" w:hAnsi="宋体" w:cs="宋体"/>
          <w:b/>
          <w:kern w:val="0"/>
          <w:szCs w:val="24"/>
        </w:rPr>
        <w:t xml:space="preserve">     图9：江浙织机开工率（%）                   图10：PTA仓单数量（吨）</w:t>
      </w:r>
      <w:r>
        <w:rPr>
          <w:rFonts w:hint="eastAsia" w:ascii="宋体" w:hAnsi="宋体" w:cs="宋体"/>
          <w:b/>
          <w:kern w:val="0"/>
          <w:szCs w:val="24"/>
        </w:rPr>
        <w:drawing>
          <wp:inline distT="0" distB="0" distL="0" distR="0">
            <wp:extent cx="6170930" cy="2174875"/>
            <wp:effectExtent l="19050" t="19050" r="20263" b="15587"/>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32" cstate="print"/>
                    <a:srcRect/>
                    <a:stretch>
                      <a:fillRect/>
                    </a:stretch>
                  </pic:blipFill>
                  <pic:spPr>
                    <a:xfrm>
                      <a:off x="0" y="0"/>
                      <a:ext cx="6179820" cy="2178277"/>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 w:val="24"/>
          <w:szCs w:val="24"/>
        </w:rPr>
      </w:pPr>
      <w:r>
        <w:rPr>
          <w:rFonts w:hint="eastAsia" w:ascii="宋体" w:hAnsi="宋体" w:cs="宋体"/>
          <w:b/>
          <w:kern w:val="0"/>
          <w:szCs w:val="24"/>
        </w:rPr>
        <w:t xml:space="preserve">   图11：聚酯产品加工利润                     图12：PTA历年现货走势图       </w:t>
      </w:r>
      <w:r>
        <w:rPr>
          <w:rFonts w:hint="eastAsia" w:ascii="宋体" w:hAnsi="宋体" w:cs="宋体"/>
          <w:b/>
          <w:kern w:val="0"/>
          <w:szCs w:val="24"/>
        </w:rPr>
        <w:drawing>
          <wp:inline distT="0" distB="0" distL="0" distR="0">
            <wp:extent cx="6182995" cy="2280285"/>
            <wp:effectExtent l="19050" t="19050" r="27017" b="2424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noChangeArrowheads="1"/>
                    </pic:cNvPicPr>
                  </pic:nvPicPr>
                  <pic:blipFill>
                    <a:blip r:embed="rId33" cstate="print"/>
                    <a:srcRect/>
                    <a:stretch>
                      <a:fillRect/>
                    </a:stretch>
                  </pic:blipFill>
                  <pic:spPr>
                    <a:xfrm>
                      <a:off x="0" y="0"/>
                      <a:ext cx="6179820" cy="2279528"/>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center"/>
        <w:rPr>
          <w:rFonts w:ascii="宋体" w:hAnsi="宋体" w:cs="宋体"/>
          <w:kern w:val="0"/>
          <w:sz w:val="24"/>
          <w:szCs w:val="24"/>
        </w:rPr>
      </w:pPr>
      <w:r>
        <w:rPr>
          <w:rFonts w:hint="eastAsia" w:ascii="宋体" w:hAnsi="宋体" w:cs="宋体"/>
          <w:b/>
          <w:kern w:val="0"/>
          <w:szCs w:val="24"/>
        </w:rPr>
        <w:t>图13：PTA周度社会库存（万吨）                 图14：PX社会库存（千吨）</w:t>
      </w:r>
      <w:r>
        <w:rPr>
          <w:rFonts w:ascii="宋体" w:hAnsi="宋体" w:cs="宋体"/>
          <w:kern w:val="0"/>
          <w:sz w:val="24"/>
          <w:szCs w:val="24"/>
        </w:rPr>
        <w:drawing>
          <wp:inline distT="0" distB="0" distL="0" distR="0">
            <wp:extent cx="6174105" cy="2308225"/>
            <wp:effectExtent l="19050" t="19050" r="16539" b="15586"/>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noChangeArrowheads="1"/>
                    </pic:cNvPicPr>
                  </pic:nvPicPr>
                  <pic:blipFill>
                    <a:blip r:embed="rId34" cstate="print"/>
                    <a:srcRect/>
                    <a:stretch>
                      <a:fillRect/>
                    </a:stretch>
                  </pic:blipFill>
                  <pic:spPr>
                    <a:xfrm>
                      <a:off x="0" y="0"/>
                      <a:ext cx="6179820" cy="2310424"/>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center"/>
        <w:rPr>
          <w:rFonts w:ascii="宋体" w:hAnsi="宋体" w:cs="宋体"/>
          <w:b/>
          <w:kern w:val="0"/>
          <w:szCs w:val="24"/>
        </w:rPr>
      </w:pPr>
      <w:r>
        <w:rPr>
          <w:rFonts w:hint="eastAsia" w:ascii="宋体" w:hAnsi="宋体" w:cs="宋体"/>
          <w:b/>
          <w:kern w:val="0"/>
          <w:szCs w:val="24"/>
        </w:rPr>
        <w:t>图15：坯布库存天数                        图16：涤纶长丝社会库存（万吨）</w:t>
      </w:r>
      <w:r>
        <w:rPr>
          <w:rFonts w:hint="eastAsia" w:ascii="宋体" w:hAnsi="宋体" w:cs="宋体"/>
          <w:b/>
          <w:kern w:val="0"/>
          <w:szCs w:val="24"/>
        </w:rPr>
        <w:drawing>
          <wp:inline distT="0" distB="0" distL="0" distR="0">
            <wp:extent cx="6182995" cy="2162810"/>
            <wp:effectExtent l="19050" t="19050" r="27017" b="27709"/>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35" cstate="print"/>
                    <a:srcRect/>
                    <a:stretch>
                      <a:fillRect/>
                    </a:stretch>
                  </pic:blipFill>
                  <pic:spPr>
                    <a:xfrm>
                      <a:off x="0" y="0"/>
                      <a:ext cx="6179820" cy="2161830"/>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 w:val="24"/>
          <w:szCs w:val="24"/>
        </w:rPr>
      </w:pPr>
      <w:r>
        <w:rPr>
          <w:rFonts w:hint="eastAsia" w:ascii="宋体" w:hAnsi="宋体" w:cs="宋体"/>
          <w:b/>
          <w:kern w:val="0"/>
          <w:szCs w:val="24"/>
        </w:rPr>
        <w:t xml:space="preserve">  图17：PTA 供需平衡表（后两组数据为预估）     图18：PTA社会库存（万吨）</w:t>
      </w:r>
      <w:r>
        <w:rPr>
          <w:rFonts w:ascii="宋体" w:hAnsi="宋体" w:cs="宋体"/>
          <w:b/>
          <w:kern w:val="0"/>
          <w:szCs w:val="24"/>
        </w:rPr>
        <w:drawing>
          <wp:inline distT="0" distB="0" distL="0" distR="0">
            <wp:extent cx="6182995" cy="2252980"/>
            <wp:effectExtent l="19050" t="19050" r="27017" b="138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6" cstate="print"/>
                    <a:srcRect/>
                    <a:stretch>
                      <a:fillRect/>
                    </a:stretch>
                  </pic:blipFill>
                  <pic:spPr>
                    <a:xfrm>
                      <a:off x="0" y="0"/>
                      <a:ext cx="6179820" cy="2251833"/>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rPr>
          <w:rFonts w:ascii="宋体" w:hAnsi="宋体" w:cs="宋体"/>
          <w:b/>
          <w:kern w:val="0"/>
          <w:szCs w:val="24"/>
        </w:rPr>
      </w:pPr>
      <w:r>
        <w:rPr>
          <w:rFonts w:hint="eastAsia" w:ascii="宋体" w:hAnsi="宋体" w:cs="宋体"/>
          <w:b/>
          <w:kern w:val="0"/>
          <w:szCs w:val="24"/>
        </w:rPr>
        <w:t xml:space="preserve">   注：以上图表数据来源于卓创资讯、wind资讯，新世纪期货整理</w:t>
      </w:r>
    </w:p>
    <w:p>
      <w:pPr>
        <w:widowControl/>
        <w:shd w:val="clear" w:color="auto" w:fill="FFFFFF"/>
        <w:spacing w:line="420" w:lineRule="atLeast"/>
        <w:ind w:right="80" w:firstLine="527" w:firstLineChars="250"/>
        <w:rPr>
          <w:rFonts w:ascii="宋体" w:hAnsi="宋体" w:cs="宋体"/>
          <w:b/>
          <w:kern w:val="0"/>
          <w:szCs w:val="24"/>
        </w:rPr>
      </w:pPr>
    </w:p>
    <w:p>
      <w:pPr>
        <w:widowControl/>
        <w:shd w:val="clear" w:color="auto" w:fill="FFFFFF"/>
        <w:spacing w:line="420" w:lineRule="atLeast"/>
        <w:ind w:right="80" w:firstLine="602" w:firstLineChars="250"/>
        <w:rPr>
          <w:rFonts w:ascii="宋体" w:hAnsi="宋体" w:cs="宋体"/>
          <w:b/>
          <w:kern w:val="0"/>
          <w:sz w:val="24"/>
          <w:szCs w:val="24"/>
        </w:rPr>
      </w:pPr>
      <w:r>
        <w:rPr>
          <w:rFonts w:hint="eastAsia" w:ascii="宋体" w:hAnsi="宋体" w:cs="宋体"/>
          <w:b/>
          <w:kern w:val="0"/>
          <w:sz w:val="24"/>
          <w:szCs w:val="24"/>
        </w:rPr>
        <w:t>乙二醇：库存增速放缓，成本端存支撑</w:t>
      </w:r>
      <w:r>
        <w:rPr>
          <w:rFonts w:hint="eastAsia" w:ascii="宋体" w:hAnsi="宋体" w:cs="宋体"/>
          <w:b/>
          <w:bCs/>
          <w:kern w:val="0"/>
          <w:sz w:val="24"/>
          <w:szCs w:val="24"/>
        </w:rPr>
        <w:t>，价格偏震荡</w:t>
      </w:r>
    </w:p>
    <w:p>
      <w:pPr>
        <w:widowControl/>
        <w:shd w:val="clear" w:color="auto" w:fill="FFFFFF"/>
        <w:spacing w:line="420" w:lineRule="atLeast"/>
        <w:ind w:right="80" w:firstLine="525" w:firstLineChars="250"/>
        <w:rPr>
          <w:rFonts w:ascii="宋体" w:hAnsi="宋体" w:cs="宋体"/>
          <w:kern w:val="0"/>
          <w:szCs w:val="24"/>
        </w:rPr>
      </w:pPr>
      <w:r>
        <w:rPr>
          <w:rFonts w:hint="eastAsia" w:ascii="宋体" w:hAnsi="宋体" w:cs="宋体"/>
          <w:kern w:val="0"/>
          <w:szCs w:val="24"/>
        </w:rPr>
        <w:t>供应：</w:t>
      </w:r>
      <w:r>
        <w:rPr>
          <w:rFonts w:ascii="宋体" w:hAnsi="宋体" w:cs="宋体"/>
          <w:kern w:val="0"/>
          <w:szCs w:val="24"/>
        </w:rPr>
        <w:t>本周国内乙二醇行业整体开工小幅降低，自</w:t>
      </w:r>
      <w:r>
        <w:rPr>
          <w:rFonts w:hint="eastAsia" w:ascii="宋体" w:hAnsi="宋体" w:cs="宋体"/>
          <w:kern w:val="0"/>
          <w:szCs w:val="24"/>
        </w:rPr>
        <w:t>83.5%下调至</w:t>
      </w:r>
      <w:r>
        <w:rPr>
          <w:rFonts w:ascii="宋体" w:hAnsi="宋体" w:cs="宋体"/>
          <w:kern w:val="0"/>
          <w:szCs w:val="24"/>
        </w:rPr>
        <w:t xml:space="preserve"> 82.4%。因利润不佳</w:t>
      </w:r>
      <w:r>
        <w:rPr>
          <w:rFonts w:hint="eastAsia" w:ascii="宋体" w:hAnsi="宋体" w:cs="宋体"/>
          <w:kern w:val="0"/>
          <w:szCs w:val="24"/>
        </w:rPr>
        <w:t>，</w:t>
      </w:r>
      <w:r>
        <w:rPr>
          <w:rFonts w:ascii="宋体" w:hAnsi="宋体" w:cs="宋体"/>
          <w:kern w:val="0"/>
          <w:szCs w:val="24"/>
        </w:rPr>
        <w:t>部分装置开工负荷降低：三江化工开工重启，但负荷不高</w:t>
      </w:r>
      <w:r>
        <w:rPr>
          <w:rFonts w:hint="eastAsia" w:ascii="宋体" w:hAnsi="宋体" w:cs="宋体"/>
          <w:kern w:val="0"/>
          <w:szCs w:val="24"/>
        </w:rPr>
        <w:t>。2</w:t>
      </w:r>
      <w:r>
        <w:rPr>
          <w:rFonts w:ascii="宋体" w:hAnsi="宋体" w:cs="宋体"/>
          <w:kern w:val="0"/>
          <w:szCs w:val="24"/>
        </w:rPr>
        <w:t>月底国内一套</w:t>
      </w:r>
      <w:r>
        <w:rPr>
          <w:rFonts w:hint="eastAsia" w:ascii="宋体" w:hAnsi="宋体" w:cs="宋体"/>
          <w:kern w:val="0"/>
          <w:szCs w:val="24"/>
        </w:rPr>
        <w:t>48</w:t>
      </w:r>
      <w:r>
        <w:rPr>
          <w:rFonts w:ascii="宋体" w:hAnsi="宋体" w:cs="宋体"/>
          <w:kern w:val="0"/>
          <w:szCs w:val="24"/>
        </w:rPr>
        <w:t>万吨的装置有检修计划，预计持续</w:t>
      </w:r>
      <w:r>
        <w:rPr>
          <w:rFonts w:hint="eastAsia" w:ascii="宋体" w:hAnsi="宋体" w:cs="宋体"/>
          <w:kern w:val="0"/>
          <w:szCs w:val="24"/>
        </w:rPr>
        <w:t>1</w:t>
      </w:r>
      <w:r>
        <w:rPr>
          <w:rFonts w:ascii="宋体" w:hAnsi="宋体" w:cs="宋体"/>
          <w:kern w:val="0"/>
          <w:szCs w:val="24"/>
        </w:rPr>
        <w:t>月左右。进口到货方面</w:t>
      </w:r>
      <w:r>
        <w:rPr>
          <w:rFonts w:hint="eastAsia" w:ascii="宋体" w:hAnsi="宋体" w:cs="宋体"/>
          <w:kern w:val="0"/>
          <w:szCs w:val="24"/>
        </w:rPr>
        <w:t>，</w:t>
      </w:r>
      <w:r>
        <w:rPr>
          <w:rFonts w:ascii="宋体" w:hAnsi="宋体" w:cs="宋体"/>
          <w:kern w:val="0"/>
          <w:szCs w:val="24"/>
        </w:rPr>
        <w:t>下周到港18.6万吨，但发货节奏提升预计整体库存增幅有限。</w:t>
      </w:r>
    </w:p>
    <w:p>
      <w:pPr>
        <w:widowControl/>
        <w:shd w:val="clear" w:color="auto" w:fill="FFFFFF"/>
        <w:spacing w:line="420" w:lineRule="atLeast"/>
        <w:ind w:right="80" w:firstLine="525" w:firstLineChars="250"/>
        <w:rPr>
          <w:rFonts w:ascii="宋体" w:hAnsi="宋体" w:cs="宋体"/>
          <w:kern w:val="0"/>
          <w:szCs w:val="24"/>
        </w:rPr>
      </w:pPr>
      <w:r>
        <w:rPr>
          <w:rFonts w:ascii="宋体" w:hAnsi="宋体" w:cs="宋体"/>
          <w:kern w:val="0"/>
          <w:szCs w:val="24"/>
        </w:rPr>
        <w:t>港口库存</w:t>
      </w:r>
      <w:r>
        <w:rPr>
          <w:rFonts w:hint="eastAsia" w:ascii="宋体" w:hAnsi="宋体" w:cs="宋体"/>
          <w:kern w:val="0"/>
          <w:szCs w:val="24"/>
        </w:rPr>
        <w:t>：</w:t>
      </w:r>
      <w:r>
        <w:rPr>
          <w:rFonts w:ascii="宋体" w:hAnsi="宋体" w:cs="宋体"/>
          <w:kern w:val="0"/>
          <w:szCs w:val="24"/>
        </w:rPr>
        <w:t>截止到本周四华东</w:t>
      </w:r>
      <w:r>
        <w:rPr>
          <w:rFonts w:hint="eastAsia" w:ascii="宋体" w:hAnsi="宋体" w:cs="宋体"/>
          <w:kern w:val="0"/>
          <w:szCs w:val="24"/>
        </w:rPr>
        <w:t>乙二醇</w:t>
      </w:r>
      <w:r>
        <w:rPr>
          <w:rFonts w:ascii="宋体" w:hAnsi="宋体" w:cs="宋体"/>
          <w:kern w:val="0"/>
          <w:szCs w:val="24"/>
        </w:rPr>
        <w:t>主要库区库存统计在11</w:t>
      </w:r>
      <w:r>
        <w:rPr>
          <w:rFonts w:hint="eastAsia" w:ascii="宋体" w:hAnsi="宋体" w:cs="宋体"/>
          <w:kern w:val="0"/>
          <w:szCs w:val="24"/>
        </w:rPr>
        <w:t>4</w:t>
      </w:r>
      <w:r>
        <w:rPr>
          <w:rFonts w:ascii="宋体" w:hAnsi="宋体" w:cs="宋体"/>
          <w:kern w:val="0"/>
          <w:szCs w:val="24"/>
        </w:rPr>
        <w:t>万吨，较上周四增加3.</w:t>
      </w:r>
      <w:r>
        <w:rPr>
          <w:rFonts w:hint="eastAsia" w:ascii="宋体" w:hAnsi="宋体" w:cs="宋体"/>
          <w:kern w:val="0"/>
          <w:szCs w:val="24"/>
        </w:rPr>
        <w:t>7</w:t>
      </w:r>
      <w:r>
        <w:rPr>
          <w:rFonts w:ascii="宋体" w:hAnsi="宋体" w:cs="宋体"/>
          <w:kern w:val="0"/>
          <w:szCs w:val="24"/>
        </w:rPr>
        <w:t>万吨。其中张家港80.6万吨；江阴3.8万吨；太仓11.7万吨；宁波8.2万吨；上海及常熟9.47万吨。</w:t>
      </w:r>
    </w:p>
    <w:p>
      <w:pPr>
        <w:widowControl/>
        <w:shd w:val="clear" w:color="auto" w:fill="FFFFFF"/>
        <w:spacing w:line="420" w:lineRule="atLeast"/>
        <w:ind w:right="80" w:firstLine="525" w:firstLineChars="250"/>
        <w:rPr>
          <w:rFonts w:ascii="宋体" w:hAnsi="宋体" w:cs="宋体"/>
          <w:kern w:val="0"/>
          <w:szCs w:val="24"/>
        </w:rPr>
      </w:pPr>
      <w:r>
        <w:rPr>
          <w:rFonts w:hint="eastAsia" w:ascii="宋体" w:hAnsi="宋体" w:cs="宋体"/>
          <w:kern w:val="0"/>
          <w:szCs w:val="24"/>
        </w:rPr>
        <w:t>需求：MEG需求与PTA一样，集中在聚酯行业。</w:t>
      </w:r>
      <w:r>
        <w:rPr>
          <w:rFonts w:ascii="宋体" w:hAnsi="宋体" w:cs="宋体"/>
          <w:kern w:val="0"/>
          <w:szCs w:val="24"/>
        </w:rPr>
        <w:t>本周下游聚酯开工逐渐修复提升，整体行业开工负荷有所提升；截止到本周五，聚酯行业开工负荷提升至8</w:t>
      </w:r>
      <w:r>
        <w:rPr>
          <w:rFonts w:hint="eastAsia" w:ascii="宋体" w:hAnsi="宋体" w:cs="宋体"/>
          <w:kern w:val="0"/>
          <w:szCs w:val="24"/>
        </w:rPr>
        <w:t>2</w:t>
      </w:r>
      <w:r>
        <w:rPr>
          <w:rFonts w:ascii="宋体" w:hAnsi="宋体" w:cs="宋体"/>
          <w:kern w:val="0"/>
          <w:szCs w:val="24"/>
        </w:rPr>
        <w:t>%；织造行业整体开机率提升至</w:t>
      </w:r>
      <w:r>
        <w:rPr>
          <w:rFonts w:hint="eastAsia" w:ascii="宋体" w:hAnsi="宋体" w:cs="宋体"/>
          <w:kern w:val="0"/>
          <w:szCs w:val="24"/>
        </w:rPr>
        <w:t>51</w:t>
      </w:r>
      <w:r>
        <w:rPr>
          <w:rFonts w:ascii="宋体" w:hAnsi="宋体" w:cs="宋体"/>
          <w:kern w:val="0"/>
          <w:szCs w:val="24"/>
        </w:rPr>
        <w:t>%</w:t>
      </w:r>
      <w:r>
        <w:rPr>
          <w:rFonts w:hint="eastAsia" w:ascii="宋体" w:hAnsi="宋体" w:cs="宋体"/>
          <w:kern w:val="0"/>
          <w:szCs w:val="24"/>
        </w:rPr>
        <w:t>。</w:t>
      </w:r>
      <w:r>
        <w:rPr>
          <w:rFonts w:ascii="宋体" w:hAnsi="宋体" w:cs="宋体"/>
          <w:kern w:val="0"/>
          <w:szCs w:val="24"/>
        </w:rPr>
        <w:t>聚酯原材料及成品库存较上周稳中略有提升</w:t>
      </w:r>
      <w:r>
        <w:rPr>
          <w:rFonts w:hint="eastAsia" w:ascii="宋体" w:hAnsi="宋体" w:cs="宋体"/>
          <w:kern w:val="0"/>
          <w:szCs w:val="24"/>
        </w:rPr>
        <w:t>。</w:t>
      </w:r>
    </w:p>
    <w:p>
      <w:pPr>
        <w:widowControl/>
        <w:shd w:val="clear" w:color="auto" w:fill="FFFFFF"/>
        <w:spacing w:line="420" w:lineRule="atLeast"/>
        <w:ind w:right="80" w:firstLine="525" w:firstLineChars="250"/>
        <w:rPr>
          <w:rFonts w:ascii="宋体" w:hAnsi="宋体" w:cs="宋体"/>
          <w:kern w:val="0"/>
          <w:szCs w:val="24"/>
        </w:rPr>
      </w:pPr>
      <w:r>
        <w:rPr>
          <w:rFonts w:hint="eastAsia" w:ascii="宋体" w:hAnsi="宋体" w:cs="宋体"/>
          <w:kern w:val="0"/>
          <w:szCs w:val="24"/>
        </w:rPr>
        <w:t>生产利润：</w:t>
      </w:r>
      <w:r>
        <w:rPr>
          <w:rFonts w:ascii="宋体" w:hAnsi="宋体" w:cs="宋体"/>
          <w:kern w:val="0"/>
          <w:szCs w:val="24"/>
        </w:rPr>
        <w:t>目前多数煤制乙二醇企业出现小幅亏损；石脑油一体化工艺维持小幅盈利，盈利空间</w:t>
      </w:r>
      <w:r>
        <w:rPr>
          <w:rFonts w:hint="eastAsia" w:ascii="宋体" w:hAnsi="宋体" w:cs="宋体"/>
          <w:kern w:val="0"/>
          <w:szCs w:val="24"/>
        </w:rPr>
        <w:t>5</w:t>
      </w:r>
      <w:r>
        <w:rPr>
          <w:rFonts w:ascii="宋体" w:hAnsi="宋体" w:cs="宋体"/>
          <w:kern w:val="0"/>
          <w:szCs w:val="24"/>
        </w:rPr>
        <w:t>美元/吨。</w:t>
      </w:r>
    </w:p>
    <w:p>
      <w:pPr>
        <w:widowControl/>
        <w:shd w:val="clear" w:color="auto" w:fill="FFFFFF"/>
        <w:spacing w:line="420" w:lineRule="atLeast"/>
        <w:ind w:right="80" w:firstLine="525" w:firstLineChars="250"/>
        <w:rPr>
          <w:rFonts w:ascii="宋体" w:hAnsi="宋体" w:cs="宋体"/>
          <w:kern w:val="0"/>
          <w:szCs w:val="24"/>
        </w:rPr>
      </w:pPr>
      <w:r>
        <w:rPr>
          <w:rFonts w:hint="eastAsia" w:ascii="宋体" w:hAnsi="宋体" w:cs="宋体"/>
          <w:kern w:val="0"/>
          <w:szCs w:val="24"/>
        </w:rPr>
        <w:t>综合观点，本周国内乙二醇期现货价格虽然探出新低，但随后反弹回升。一方面，近期原油走势偏强，对市场情绪予以支持，另一方面，市场也受乙二醇装置开工降低与部分新增产能投产不及预期的消息。但总体上乙二醇高库存、高供应的现状尚未改观，预计进一步反弹力度有限。另外，主力持仓方面，空头持仓十分集中，主力空头占据明显优势。后市关注实际需求变动，预计短期内乙二醇涨跌空间有限，走势偏震荡。</w:t>
      </w:r>
    </w:p>
    <w:p>
      <w:pPr>
        <w:widowControl/>
        <w:shd w:val="clear" w:color="auto" w:fill="FFFFFF"/>
        <w:spacing w:line="420" w:lineRule="atLeast"/>
        <w:ind w:right="80"/>
        <w:jc w:val="left"/>
        <w:rPr>
          <w:rFonts w:ascii="宋体" w:hAnsi="宋体" w:cs="宋体"/>
          <w:kern w:val="0"/>
          <w:sz w:val="24"/>
          <w:szCs w:val="24"/>
        </w:rPr>
      </w:pPr>
      <w:r>
        <w:rPr>
          <w:rFonts w:hint="eastAsia" w:ascii="宋体" w:hAnsi="宋体" w:cs="宋体"/>
          <w:b/>
          <w:kern w:val="0"/>
          <w:szCs w:val="24"/>
        </w:rPr>
        <w:t xml:space="preserve">    图1：乙二醇现货价格（元/吨）                    图2：国内乙二醇开工率（%）</w:t>
      </w:r>
      <w:r>
        <w:rPr>
          <w:rFonts w:hint="eastAsia" w:ascii="宋体" w:hAnsi="宋体" w:cs="宋体"/>
          <w:kern w:val="0"/>
          <w:sz w:val="24"/>
          <w:szCs w:val="24"/>
        </w:rPr>
        <w:t xml:space="preserve"> </w:t>
      </w:r>
      <w:r>
        <w:rPr>
          <w:rFonts w:hint="eastAsia" w:ascii="宋体" w:hAnsi="宋体" w:cs="宋体"/>
          <w:kern w:val="0"/>
          <w:sz w:val="24"/>
          <w:szCs w:val="24"/>
        </w:rPr>
        <w:drawing>
          <wp:inline distT="0" distB="0" distL="0" distR="0">
            <wp:extent cx="6179820" cy="2272030"/>
            <wp:effectExtent l="19050" t="19050" r="11430" b="13646"/>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cstate="print"/>
                    <a:srcRect/>
                    <a:stretch>
                      <a:fillRect/>
                    </a:stretch>
                  </pic:blipFill>
                  <pic:spPr>
                    <a:xfrm>
                      <a:off x="0" y="0"/>
                      <a:ext cx="6179820" cy="2272354"/>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jc w:val="left"/>
        <w:rPr>
          <w:rFonts w:ascii="宋体" w:hAnsi="宋体" w:cs="宋体"/>
          <w:b/>
          <w:kern w:val="0"/>
          <w:szCs w:val="21"/>
        </w:rPr>
      </w:pPr>
      <w:r>
        <w:rPr>
          <w:rFonts w:hint="eastAsia" w:ascii="宋体" w:hAnsi="宋体" w:cs="宋体"/>
          <w:kern w:val="0"/>
          <w:sz w:val="24"/>
          <w:szCs w:val="24"/>
        </w:rPr>
        <w:t xml:space="preserve">        </w:t>
      </w:r>
      <w:r>
        <w:rPr>
          <w:rFonts w:hint="eastAsia" w:ascii="宋体" w:hAnsi="宋体" w:cs="宋体"/>
          <w:b/>
          <w:kern w:val="0"/>
          <w:szCs w:val="21"/>
        </w:rPr>
        <w:t>图3：MEG基差                                 图4: MEG6-9价差</w:t>
      </w:r>
    </w:p>
    <w:p>
      <w:pPr>
        <w:widowControl/>
        <w:shd w:val="clear" w:color="auto" w:fill="FFFFFF"/>
        <w:spacing w:line="420" w:lineRule="atLeast"/>
        <w:ind w:right="80"/>
        <w:jc w:val="left"/>
        <w:rPr>
          <w:rFonts w:ascii="宋体" w:hAnsi="宋体" w:cs="宋体"/>
          <w:kern w:val="0"/>
          <w:sz w:val="24"/>
          <w:szCs w:val="24"/>
        </w:rPr>
      </w:pPr>
      <w:r>
        <w:rPr>
          <w:rFonts w:ascii="宋体" w:hAnsi="宋体" w:cs="宋体"/>
          <w:kern w:val="0"/>
          <w:sz w:val="24"/>
          <w:szCs w:val="24"/>
        </w:rPr>
        <w:drawing>
          <wp:inline distT="0" distB="0" distL="0" distR="0">
            <wp:extent cx="6182995" cy="2543810"/>
            <wp:effectExtent l="19050" t="19050" r="27017" b="27709"/>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 cstate="print"/>
                    <a:srcRect/>
                    <a:stretch>
                      <a:fillRect/>
                    </a:stretch>
                  </pic:blipFill>
                  <pic:spPr>
                    <a:xfrm>
                      <a:off x="0" y="0"/>
                      <a:ext cx="6179820" cy="2542616"/>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 w:val="24"/>
          <w:szCs w:val="24"/>
        </w:rPr>
      </w:pPr>
      <w:r>
        <w:rPr>
          <w:rFonts w:hint="eastAsia" w:ascii="宋体" w:hAnsi="宋体" w:cs="宋体"/>
          <w:b/>
          <w:kern w:val="0"/>
          <w:szCs w:val="24"/>
        </w:rPr>
        <w:t xml:space="preserve">    图5：乙二醇生产利润率（%）               图6：石脑油一体化装置乙二醇生产现金流</w:t>
      </w:r>
      <w:r>
        <w:rPr>
          <w:rFonts w:hint="eastAsia" w:ascii="宋体" w:hAnsi="宋体" w:cs="宋体"/>
          <w:b/>
          <w:kern w:val="0"/>
          <w:szCs w:val="24"/>
        </w:rPr>
        <w:drawing>
          <wp:inline distT="0" distB="0" distL="0" distR="0">
            <wp:extent cx="6179820" cy="2264410"/>
            <wp:effectExtent l="19050" t="19050" r="11430" b="21553"/>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noChangeArrowheads="1"/>
                    </pic:cNvPicPr>
                  </pic:nvPicPr>
                  <pic:blipFill>
                    <a:blip r:embed="rId39" cstate="print"/>
                    <a:srcRect/>
                    <a:stretch>
                      <a:fillRect/>
                    </a:stretch>
                  </pic:blipFill>
                  <pic:spPr>
                    <a:xfrm>
                      <a:off x="0" y="0"/>
                      <a:ext cx="6179820" cy="2264447"/>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 w:val="24"/>
          <w:szCs w:val="24"/>
        </w:rPr>
      </w:pPr>
      <w:r>
        <w:rPr>
          <w:rFonts w:hint="eastAsia" w:ascii="宋体" w:hAnsi="宋体" w:cs="宋体"/>
          <w:b/>
          <w:kern w:val="0"/>
          <w:szCs w:val="24"/>
        </w:rPr>
        <w:t>图7：外盘乙二醇生产毛利（美元/吨）              图8：乙二醇主要港口库存（千吨）</w:t>
      </w:r>
      <w:r>
        <w:rPr>
          <w:rFonts w:hint="eastAsia" w:ascii="宋体" w:hAnsi="宋体" w:cs="宋体"/>
          <w:kern w:val="0"/>
          <w:sz w:val="24"/>
          <w:szCs w:val="24"/>
        </w:rPr>
        <w:t xml:space="preserve"> </w:t>
      </w:r>
      <w:r>
        <w:rPr>
          <w:rFonts w:hint="eastAsia" w:ascii="宋体" w:hAnsi="宋体" w:cs="宋体"/>
          <w:kern w:val="0"/>
          <w:sz w:val="24"/>
          <w:szCs w:val="24"/>
        </w:rPr>
        <w:drawing>
          <wp:inline distT="0" distB="0" distL="0" distR="0">
            <wp:extent cx="6179820" cy="2258060"/>
            <wp:effectExtent l="19050" t="19050" r="11430" b="27913"/>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noChangeArrowheads="1"/>
                    </pic:cNvPicPr>
                  </pic:nvPicPr>
                  <pic:blipFill>
                    <a:blip r:embed="rId40" cstate="print"/>
                    <a:srcRect/>
                    <a:stretch>
                      <a:fillRect/>
                    </a:stretch>
                  </pic:blipFill>
                  <pic:spPr>
                    <a:xfrm>
                      <a:off x="0" y="0"/>
                      <a:ext cx="6179820" cy="2258087"/>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jc w:val="left"/>
        <w:rPr>
          <w:rFonts w:ascii="宋体" w:hAnsi="宋体" w:cs="宋体"/>
          <w:kern w:val="0"/>
          <w:sz w:val="24"/>
          <w:szCs w:val="24"/>
        </w:rPr>
      </w:pPr>
      <w:r>
        <w:rPr>
          <w:rFonts w:hint="eastAsia" w:ascii="宋体" w:hAnsi="宋体" w:cs="宋体"/>
          <w:b/>
          <w:kern w:val="0"/>
          <w:szCs w:val="24"/>
        </w:rPr>
        <w:t xml:space="preserve"> 图9：乙二醇华东港口库存（千吨）               图10：乙二醇月度供需平衡表</w:t>
      </w:r>
      <w:r>
        <w:rPr>
          <w:rFonts w:hint="eastAsia" w:ascii="宋体" w:hAnsi="宋体" w:cs="宋体"/>
          <w:kern w:val="0"/>
          <w:sz w:val="24"/>
          <w:szCs w:val="24"/>
        </w:rPr>
        <w:t xml:space="preserve"> </w:t>
      </w:r>
      <w:r>
        <w:rPr>
          <w:rFonts w:hint="eastAsia" w:ascii="宋体" w:hAnsi="宋体" w:cs="宋体"/>
          <w:kern w:val="0"/>
          <w:sz w:val="24"/>
          <w:szCs w:val="24"/>
        </w:rPr>
        <w:drawing>
          <wp:inline distT="0" distB="0" distL="0" distR="0">
            <wp:extent cx="6179820" cy="2287905"/>
            <wp:effectExtent l="19050" t="19050" r="11430" b="16763"/>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noChangeArrowheads="1"/>
                    </pic:cNvPicPr>
                  </pic:nvPicPr>
                  <pic:blipFill>
                    <a:blip r:embed="rId41" cstate="print"/>
                    <a:srcRect/>
                    <a:stretch>
                      <a:fillRect/>
                    </a:stretch>
                  </pic:blipFill>
                  <pic:spPr>
                    <a:xfrm>
                      <a:off x="0" y="0"/>
                      <a:ext cx="6179820" cy="2288287"/>
                    </a:xfrm>
                    <a:prstGeom prst="rect">
                      <a:avLst/>
                    </a:prstGeom>
                    <a:noFill/>
                    <a:ln w="9525">
                      <a:solidFill>
                        <a:schemeClr val="accent1"/>
                      </a:solidFill>
                      <a:miter lim="800000"/>
                      <a:headEnd/>
                      <a:tailEnd/>
                    </a:ln>
                  </pic:spPr>
                </pic:pic>
              </a:graphicData>
            </a:graphic>
          </wp:inline>
        </w:drawing>
      </w:r>
    </w:p>
    <w:p>
      <w:pPr>
        <w:widowControl/>
        <w:shd w:val="clear" w:color="auto" w:fill="FFFFFF"/>
        <w:spacing w:line="420" w:lineRule="atLeast"/>
        <w:ind w:right="80" w:firstLine="527" w:firstLineChars="250"/>
        <w:rPr>
          <w:rFonts w:ascii="宋体" w:hAnsi="宋体" w:cs="宋体"/>
          <w:b/>
          <w:kern w:val="0"/>
          <w:szCs w:val="24"/>
        </w:rPr>
      </w:pPr>
      <w:r>
        <w:rPr>
          <w:rFonts w:hint="eastAsia" w:ascii="宋体" w:hAnsi="宋体" w:cs="宋体"/>
          <w:b/>
          <w:kern w:val="0"/>
          <w:szCs w:val="24"/>
        </w:rPr>
        <w:t>注：以上图表数据来源于卓创资讯、wind资讯，新世纪期货整理</w:t>
      </w:r>
    </w:p>
    <w:p>
      <w:pPr>
        <w:spacing w:line="360" w:lineRule="auto"/>
      </w:pPr>
    </w:p>
    <w:p>
      <w:pPr>
        <w:jc w:val="left"/>
        <w:rPr>
          <w:b/>
          <w:sz w:val="28"/>
          <w:szCs w:val="28"/>
        </w:rPr>
      </w:pPr>
      <w:r>
        <w:rPr>
          <w:b/>
          <w:sz w:val="28"/>
          <w:szCs w:val="28"/>
        </w:rPr>
        <w:t>LLDPE</w:t>
      </w:r>
    </w:p>
    <w:p>
      <w:pPr>
        <w:ind w:firstLine="422" w:firstLineChars="200"/>
        <w:rPr>
          <w:rFonts w:ascii="Calibri" w:hAnsi="Calibri" w:eastAsia="宋体" w:cs="Times New Roman"/>
          <w:b/>
        </w:rPr>
      </w:pPr>
      <w:r>
        <w:rPr>
          <w:rFonts w:ascii="Calibri" w:hAnsi="Calibri" w:eastAsia="宋体" w:cs="Times New Roman"/>
          <w:b/>
        </w:rPr>
        <w:t>价格</w:t>
      </w:r>
      <w:r>
        <w:rPr>
          <w:rFonts w:hint="eastAsia" w:ascii="Calibri" w:hAnsi="Calibri" w:eastAsia="宋体" w:cs="Times New Roman"/>
          <w:b/>
        </w:rPr>
        <w:t>：</w:t>
      </w:r>
      <w:r>
        <w:rPr>
          <w:rFonts w:hint="eastAsia" w:ascii="Calibri" w:hAnsi="Calibri" w:eastAsia="宋体" w:cs="Times New Roman"/>
        </w:rPr>
        <w:t>现货先涨后跌，产业下游看到中美贸易偏乐观预期和短期现金流好转小囤货一番，但这个节奏还是要后面宏观释放利好是否继续，到周末现货成交转弱了，比价方面仍然是非标偏弱，外盘价格较稳，需要看下游刚需提货节奏是否保持下去，还能往上推一推。</w:t>
      </w:r>
    </w:p>
    <w:p>
      <w:pPr>
        <w:ind w:firstLine="422" w:firstLineChars="200"/>
        <w:rPr>
          <w:rFonts w:ascii="Calibri" w:hAnsi="Calibri" w:eastAsia="宋体" w:cs="Times New Roman"/>
        </w:rPr>
      </w:pPr>
      <w:r>
        <w:rPr>
          <w:rFonts w:ascii="Calibri" w:hAnsi="Calibri" w:eastAsia="宋体" w:cs="Times New Roman"/>
          <w:b/>
        </w:rPr>
        <w:t>供应</w:t>
      </w:r>
      <w:r>
        <w:rPr>
          <w:rFonts w:hint="eastAsia" w:ascii="Calibri" w:hAnsi="Calibri" w:eastAsia="宋体" w:cs="Times New Roman"/>
          <w:b/>
        </w:rPr>
        <w:t>：</w:t>
      </w:r>
      <w:r>
        <w:rPr>
          <w:rFonts w:hint="eastAsia" w:ascii="Calibri" w:hAnsi="Calibri" w:eastAsia="宋体" w:cs="Times New Roman"/>
        </w:rPr>
        <w:t>节后供应较节前没有明显差别，进口压力没预期那么大，上游开工率94%左右，检修损失量4.02万吨较上周小增0.98万吨。</w:t>
      </w:r>
    </w:p>
    <w:p>
      <w:pPr>
        <w:ind w:firstLine="422" w:firstLineChars="200"/>
        <w:rPr>
          <w:rFonts w:ascii="Calibri" w:hAnsi="Calibri" w:eastAsia="宋体" w:cs="Times New Roman"/>
        </w:rPr>
      </w:pPr>
      <w:r>
        <w:rPr>
          <w:rFonts w:ascii="Calibri" w:hAnsi="Calibri" w:eastAsia="宋体" w:cs="Times New Roman"/>
          <w:b/>
        </w:rPr>
        <w:t>需求</w:t>
      </w:r>
      <w:r>
        <w:rPr>
          <w:rFonts w:hint="eastAsia" w:ascii="Calibri" w:hAnsi="Calibri" w:eastAsia="宋体" w:cs="Times New Roman"/>
          <w:b/>
        </w:rPr>
        <w:t>：</w:t>
      </w:r>
      <w:r>
        <w:rPr>
          <w:rFonts w:hint="eastAsia" w:ascii="Calibri" w:hAnsi="Calibri" w:eastAsia="宋体" w:cs="Times New Roman"/>
        </w:rPr>
        <w:t>11月之后PE下游开工率出现不同程度的持续下降，截至2月21日PE下游开工率较节前变化（%）：农膜46（-3）、包装膜51（-10）、管材42（-1），单丝37（-5）、薄膜41（-5）和中空40（-5）。</w:t>
      </w:r>
    </w:p>
    <w:p>
      <w:pPr>
        <w:ind w:firstLine="422" w:firstLineChars="200"/>
        <w:rPr>
          <w:rFonts w:ascii="Calibri" w:hAnsi="Calibri" w:eastAsia="宋体" w:cs="Times New Roman"/>
        </w:rPr>
      </w:pPr>
      <w:r>
        <w:rPr>
          <w:rFonts w:ascii="Calibri" w:hAnsi="Calibri" w:eastAsia="宋体" w:cs="Times New Roman"/>
          <w:b/>
        </w:rPr>
        <w:t>库存</w:t>
      </w:r>
      <w:r>
        <w:rPr>
          <w:rFonts w:hint="eastAsia" w:ascii="Calibri" w:hAnsi="Calibri" w:eastAsia="宋体" w:cs="Times New Roman"/>
          <w:b/>
        </w:rPr>
        <w:t>：</w:t>
      </w:r>
      <w:r>
        <w:rPr>
          <w:rFonts w:hint="eastAsia" w:ascii="Calibri" w:hAnsi="Calibri" w:eastAsia="宋体" w:cs="Times New Roman"/>
        </w:rPr>
        <w:t>供需方面，库存节后快速上升，产业偏弱。截至2月14日PE广义库存（石化+港口+贸易商）89.8万吨，仓单55张，总库存偏高仅低于17年，注意今年下游补货不多，中下游低库存策略下，看到的都是石化显性库存的累积，关注未来一周库存或将升至最高。</w:t>
      </w:r>
    </w:p>
    <w:p>
      <w:pPr>
        <w:ind w:firstLine="422" w:firstLineChars="200"/>
        <w:rPr>
          <w:rFonts w:ascii="Calibri" w:hAnsi="Calibri" w:eastAsia="宋体" w:cs="Times New Roman"/>
        </w:rPr>
      </w:pPr>
      <w:r>
        <w:rPr>
          <w:rFonts w:ascii="Calibri" w:hAnsi="Calibri" w:eastAsia="宋体" w:cs="Times New Roman"/>
          <w:b/>
        </w:rPr>
        <w:t>成本及利润</w:t>
      </w:r>
      <w:r>
        <w:rPr>
          <w:rFonts w:hint="eastAsia" w:ascii="Calibri" w:hAnsi="Calibri" w:eastAsia="宋体" w:cs="Times New Roman"/>
          <w:b/>
        </w:rPr>
        <w:t>：</w:t>
      </w:r>
      <w:r>
        <w:rPr>
          <w:rFonts w:hint="eastAsia" w:ascii="Calibri" w:hAnsi="Calibri" w:eastAsia="宋体" w:cs="Times New Roman"/>
        </w:rPr>
        <w:t>由于油价下跌和PE现货的下跌，油制生产利润回落至1000左右，煤制近2000，进口利润LL、LD、HD在200~500左右，HD最好，LL次之，LD较差，11月之后进口窗口一直保持打开的，产业链利润还未传导到下游，农膜利润仍偏低。</w:t>
      </w:r>
    </w:p>
    <w:p>
      <w:pPr>
        <w:ind w:firstLine="422" w:firstLineChars="200"/>
        <w:rPr>
          <w:rFonts w:ascii="Calibri" w:hAnsi="Calibri" w:eastAsia="宋体" w:cs="Times New Roman"/>
        </w:rPr>
      </w:pPr>
      <w:r>
        <w:rPr>
          <w:rFonts w:ascii="Calibri" w:hAnsi="Calibri" w:eastAsia="宋体" w:cs="Times New Roman"/>
          <w:b/>
        </w:rPr>
        <w:t>交易提示</w:t>
      </w:r>
      <w:r>
        <w:rPr>
          <w:rFonts w:hint="eastAsia" w:ascii="Calibri" w:hAnsi="Calibri" w:eastAsia="宋体" w:cs="Times New Roman"/>
          <w:b/>
        </w:rPr>
        <w:t>：</w:t>
      </w:r>
      <w:r>
        <w:rPr>
          <w:rFonts w:hint="eastAsia" w:ascii="Calibri" w:hAnsi="Calibri" w:eastAsia="宋体" w:cs="Times New Roman"/>
        </w:rPr>
        <w:t>本周开始发展中下游买货积极了，加上宏观预期小好，明后天节奏还是在中下游，去库快，还能涨点儿，速度降下来就要跌。宏观数据和中美贸易战利好，产业当前是偏弱的，3月底地膜需求和原油是风险点。中下游买货积极，库存去到下游占比不多，宏观预期小好，产业偏弱，基差并不走强，关注下个月底地膜旺季开工情况，风险在于此和原油。</w:t>
      </w:r>
    </w:p>
    <w:p>
      <w:r>
        <w:drawing>
          <wp:inline distT="0" distB="0" distL="0" distR="0">
            <wp:extent cx="2519680" cy="1619885"/>
            <wp:effectExtent l="0" t="0" r="13970" b="184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rPr>
          <w:b/>
          <w:sz w:val="28"/>
          <w:szCs w:val="28"/>
        </w:rPr>
      </w:pPr>
      <w:r>
        <w:rPr>
          <w:rFonts w:hint="eastAsia"/>
          <w:b/>
          <w:sz w:val="28"/>
          <w:szCs w:val="28"/>
        </w:rPr>
        <w:t>PP</w:t>
      </w:r>
      <w:r>
        <w:rPr>
          <w:rFonts w:hint="eastAsia"/>
          <w:b/>
          <w:sz w:val="28"/>
          <w:szCs w:val="28"/>
          <w:lang w:eastAsia="zh-CN"/>
        </w:rPr>
        <w:t>：</w:t>
      </w:r>
    </w:p>
    <w:p>
      <w:pPr>
        <w:ind w:firstLine="422" w:firstLineChars="200"/>
        <w:rPr>
          <w:rFonts w:ascii="Calibri" w:hAnsi="Calibri" w:eastAsia="宋体" w:cs="Times New Roman"/>
        </w:rPr>
      </w:pPr>
      <w:r>
        <w:rPr>
          <w:rFonts w:ascii="Calibri" w:hAnsi="Calibri" w:eastAsia="宋体" w:cs="Times New Roman"/>
          <w:b/>
        </w:rPr>
        <w:t>价格</w:t>
      </w:r>
      <w:r>
        <w:rPr>
          <w:rFonts w:hint="eastAsia" w:ascii="Calibri" w:hAnsi="Calibri" w:eastAsia="宋体" w:cs="Times New Roman"/>
          <w:b/>
        </w:rPr>
        <w:t>：</w:t>
      </w:r>
      <w:r>
        <w:rPr>
          <w:rFonts w:hint="eastAsia" w:ascii="Calibri" w:hAnsi="Calibri" w:eastAsia="宋体" w:cs="Times New Roman"/>
        </w:rPr>
        <w:t>外盘现货较稳定，出口需求不多，内地现货因为宏观预期，中下游心态积极的买货了一些，贸易商出货的流动性减少，下游刚需拿的货也是需要关注宏观是否继续有支撑，否则本周做宏观预期向好的上涨会反调。</w:t>
      </w:r>
    </w:p>
    <w:p>
      <w:pPr>
        <w:ind w:firstLine="422" w:firstLineChars="200"/>
        <w:rPr>
          <w:rFonts w:ascii="Calibri" w:hAnsi="Calibri" w:eastAsia="宋体" w:cs="Times New Roman"/>
        </w:rPr>
      </w:pPr>
      <w:r>
        <w:rPr>
          <w:rFonts w:ascii="Calibri" w:hAnsi="Calibri" w:eastAsia="宋体" w:cs="Times New Roman"/>
          <w:b/>
        </w:rPr>
        <w:t>供应</w:t>
      </w:r>
      <w:r>
        <w:rPr>
          <w:rFonts w:hint="eastAsia" w:ascii="Calibri" w:hAnsi="Calibri" w:eastAsia="宋体" w:cs="Times New Roman"/>
          <w:b/>
        </w:rPr>
        <w:t>：</w:t>
      </w:r>
      <w:r>
        <w:rPr>
          <w:rFonts w:hint="eastAsia" w:ascii="Calibri" w:hAnsi="Calibri" w:eastAsia="宋体" w:cs="Times New Roman"/>
        </w:rPr>
        <w:t>由于临时检修装置增多，拉丝生产比例下调，石化厂开工率仍接近90%的高位状态，今年检修较去年偏少的，关注临时停车装置和新产能稳定开工情况，当前石化高开工情况下会导致库存压力继续增大。</w:t>
      </w:r>
    </w:p>
    <w:p>
      <w:pPr>
        <w:ind w:firstLine="422" w:firstLineChars="200"/>
        <w:rPr>
          <w:rFonts w:ascii="Calibri" w:hAnsi="Calibri" w:eastAsia="宋体" w:cs="Times New Roman"/>
        </w:rPr>
      </w:pPr>
      <w:r>
        <w:rPr>
          <w:rFonts w:ascii="Calibri" w:hAnsi="Calibri" w:eastAsia="宋体" w:cs="Times New Roman"/>
          <w:b/>
        </w:rPr>
        <w:t>需求</w:t>
      </w:r>
      <w:r>
        <w:rPr>
          <w:rFonts w:hint="eastAsia" w:ascii="Calibri" w:hAnsi="Calibri" w:eastAsia="宋体" w:cs="Times New Roman"/>
          <w:b/>
        </w:rPr>
        <w:t>：</w:t>
      </w:r>
      <w:r>
        <w:rPr>
          <w:rFonts w:hint="eastAsia" w:ascii="Calibri" w:hAnsi="Calibri" w:eastAsia="宋体" w:cs="Times New Roman"/>
        </w:rPr>
        <w:t>下游开工下降，塑编厂50%（+4）、BOPP膜厂52%（+2）、注塑厂51%（+5），下游待复工。注意的是宏观预期短期转好，家电和汽车消费方面比较差的情况过去。</w:t>
      </w:r>
    </w:p>
    <w:p>
      <w:pPr>
        <w:ind w:firstLine="422" w:firstLineChars="200"/>
        <w:rPr>
          <w:rFonts w:ascii="Calibri" w:hAnsi="Calibri" w:eastAsia="宋体" w:cs="Times New Roman"/>
        </w:rPr>
      </w:pPr>
      <w:r>
        <w:rPr>
          <w:rFonts w:ascii="Calibri" w:hAnsi="Calibri" w:eastAsia="宋体" w:cs="Times New Roman"/>
          <w:b/>
        </w:rPr>
        <w:t>库存</w:t>
      </w:r>
      <w:r>
        <w:rPr>
          <w:rFonts w:hint="eastAsia" w:ascii="Calibri" w:hAnsi="Calibri" w:eastAsia="宋体" w:cs="Times New Roman"/>
          <w:b/>
        </w:rPr>
        <w:t>：</w:t>
      </w:r>
      <w:r>
        <w:rPr>
          <w:rFonts w:hint="eastAsia" w:ascii="Calibri" w:hAnsi="Calibri" w:eastAsia="宋体" w:cs="Times New Roman"/>
        </w:rPr>
        <w:t>当前产业库存集中在上游显性，截至2月14日PP广义库存（石化+港口+贸易）34.4万吨，历史位置不高，节后的高库存去化还是很快的，超预期在于主要市场节前认为会比去年累得低，没想到一下就到去年差不多位置，上周美复工还在累，但是这周目前去得快，产业的人也是看着盘面涨买货就积极起来的，相互反馈，昨天又变弱了，仓单为684。</w:t>
      </w:r>
    </w:p>
    <w:p>
      <w:pPr>
        <w:ind w:firstLine="422" w:firstLineChars="200"/>
        <w:rPr>
          <w:rFonts w:ascii="Calibri" w:hAnsi="Calibri" w:eastAsia="宋体" w:cs="Times New Roman"/>
        </w:rPr>
      </w:pPr>
      <w:r>
        <w:rPr>
          <w:rFonts w:ascii="Calibri" w:hAnsi="Calibri" w:eastAsia="宋体" w:cs="Times New Roman"/>
          <w:b/>
        </w:rPr>
        <w:t>成本及利润</w:t>
      </w:r>
      <w:r>
        <w:rPr>
          <w:rFonts w:hint="eastAsia" w:ascii="Calibri" w:hAnsi="Calibri" w:eastAsia="宋体" w:cs="Times New Roman"/>
          <w:b/>
        </w:rPr>
        <w:t>：</w:t>
      </w:r>
      <w:r>
        <w:rPr>
          <w:rFonts w:hint="eastAsia" w:ascii="Calibri" w:hAnsi="Calibri" w:eastAsia="宋体" w:cs="Times New Roman"/>
        </w:rPr>
        <w:t>油制生产利润1000、煤制一体化利润接近2000，华东外采的MTO装置利润300，兴兴能源综合利润200多，整个生产利润已经下调了一部分，缓释了上游利好，进口窗口关闭，出口有利润，下游BOPP利润也有大几百了，成本角度看PP下跌空间已经不多，当然后续做产能新投的预期还要压缩利润下跌。</w:t>
      </w:r>
    </w:p>
    <w:p>
      <w:pPr>
        <w:ind w:firstLine="422" w:firstLineChars="200"/>
        <w:rPr>
          <w:rFonts w:ascii="Calibri" w:hAnsi="Calibri" w:eastAsia="宋体" w:cs="Times New Roman"/>
        </w:rPr>
      </w:pPr>
      <w:r>
        <w:rPr>
          <w:rFonts w:ascii="Calibri" w:hAnsi="Calibri" w:eastAsia="宋体" w:cs="Times New Roman"/>
          <w:b/>
        </w:rPr>
        <w:t>交易提示</w:t>
      </w:r>
      <w:r>
        <w:rPr>
          <w:rFonts w:hint="eastAsia" w:ascii="Calibri" w:hAnsi="Calibri" w:eastAsia="宋体" w:cs="Times New Roman"/>
          <w:b/>
        </w:rPr>
        <w:t>：</w:t>
      </w:r>
      <w:r>
        <w:rPr>
          <w:rFonts w:hint="eastAsia" w:ascii="Calibri" w:hAnsi="Calibri" w:eastAsia="宋体" w:cs="Times New Roman"/>
        </w:rPr>
        <w:t>比价显示PP矛盾不大，丙烯和粉料支撑转弱，周末丙烯现货再下调，风险在于宏观预期释放完后及原油的变化。年后库存超预期累超过去年同水平，但本周快速去到低于去年水平，产业和盘面投机客共振，买货积极和盘面上涨相互反馈，但基差不跟，短期宏观利好，关注产业去库节奏。</w:t>
      </w:r>
    </w:p>
    <w:p>
      <w:r>
        <w:drawing>
          <wp:inline distT="0" distB="0" distL="0" distR="0">
            <wp:extent cx="2519680" cy="1619885"/>
            <wp:effectExtent l="0" t="0" r="13970" b="184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left"/>
      </w:pPr>
      <w:r>
        <w:drawing>
          <wp:inline distT="0" distB="0" distL="0" distR="0">
            <wp:extent cx="2519680" cy="1619885"/>
            <wp:effectExtent l="0" t="0" r="13970" b="1841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r>
        <w:drawing>
          <wp:inline distT="0" distB="0" distL="0" distR="0">
            <wp:extent cx="2519680" cy="1619885"/>
            <wp:effectExtent l="0" t="0" r="13970" b="1841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drawing>
          <wp:inline distT="0" distB="0" distL="0" distR="0">
            <wp:extent cx="2519680" cy="1619885"/>
            <wp:effectExtent l="0" t="0" r="13970" b="1841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
      <w:pPr>
        <w:jc w:val="left"/>
        <w:rPr>
          <w:b/>
          <w:sz w:val="28"/>
          <w:szCs w:val="28"/>
        </w:rPr>
      </w:pPr>
      <w:r>
        <w:rPr>
          <w:b/>
          <w:sz w:val="28"/>
          <w:szCs w:val="28"/>
        </w:rPr>
        <w:t>PVC</w:t>
      </w:r>
      <w:r>
        <w:rPr>
          <w:rFonts w:hint="eastAsia"/>
          <w:b/>
          <w:sz w:val="28"/>
          <w:szCs w:val="28"/>
          <w:lang w:eastAsia="zh-CN"/>
        </w:rPr>
        <w:t>：</w:t>
      </w:r>
    </w:p>
    <w:p>
      <w:pPr>
        <w:ind w:firstLine="422" w:firstLineChars="200"/>
        <w:rPr>
          <w:rFonts w:ascii="Calibri" w:hAnsi="Calibri" w:eastAsia="宋体" w:cs="Times New Roman"/>
          <w:b/>
        </w:rPr>
      </w:pPr>
      <w:r>
        <w:rPr>
          <w:rFonts w:ascii="Calibri" w:hAnsi="Calibri" w:eastAsia="宋体" w:cs="Times New Roman"/>
          <w:b/>
        </w:rPr>
        <w:t>价格</w:t>
      </w:r>
      <w:r>
        <w:rPr>
          <w:rFonts w:hint="eastAsia" w:ascii="Calibri" w:hAnsi="Calibri" w:eastAsia="宋体" w:cs="Times New Roman"/>
          <w:b/>
        </w:rPr>
        <w:t>和利润：</w:t>
      </w:r>
      <w:r>
        <w:rPr>
          <w:rFonts w:hint="eastAsia" w:ascii="Calibri" w:hAnsi="Calibri" w:eastAsia="宋体" w:cs="Times New Roman"/>
        </w:rPr>
        <w:t>成本端电石是有所上涨的，乙烯价格也有缓慢增加，生产利润因此回升，但是出口利润较去年没有改善甚至不如去年，出口需求也较弱，现货压力较大，HD相对PVC走强，05主力LV缩小趋势不变，</w:t>
      </w:r>
      <w:r>
        <w:rPr>
          <w:rFonts w:hint="eastAsia" w:ascii="Calibri" w:hAnsi="Calibri" w:cs="Times New Roman"/>
          <w:lang w:val="en-US" w:eastAsia="zh-CN"/>
        </w:rPr>
        <w:t xml:space="preserve"> </w:t>
      </w:r>
      <w:r>
        <w:rPr>
          <w:rFonts w:hint="eastAsia" w:ascii="Calibri" w:hAnsi="Calibri" w:eastAsia="宋体" w:cs="Times New Roman"/>
        </w:rPr>
        <w:t>使得价格很难上行。</w:t>
      </w:r>
    </w:p>
    <w:p>
      <w:pPr>
        <w:ind w:firstLine="422" w:firstLineChars="200"/>
        <w:rPr>
          <w:rFonts w:ascii="Calibri" w:hAnsi="Calibri" w:eastAsia="宋体" w:cs="Times New Roman"/>
        </w:rPr>
      </w:pPr>
      <w:r>
        <w:rPr>
          <w:rFonts w:ascii="Calibri" w:hAnsi="Calibri" w:eastAsia="宋体" w:cs="Times New Roman"/>
          <w:b/>
        </w:rPr>
        <w:t>供应</w:t>
      </w:r>
      <w:r>
        <w:rPr>
          <w:rFonts w:hint="eastAsia" w:ascii="Calibri" w:hAnsi="Calibri" w:eastAsia="宋体" w:cs="Times New Roman"/>
          <w:b/>
        </w:rPr>
        <w:t>：</w:t>
      </w:r>
      <w:r>
        <w:rPr>
          <w:rFonts w:hint="eastAsia" w:ascii="Calibri" w:hAnsi="Calibri" w:eastAsia="宋体" w:cs="Times New Roman"/>
        </w:rPr>
        <w:t>当前PVC高供应的矛盾并未解决，内地上游均有压力。新增产能较少，长期供应增速有限。</w:t>
      </w:r>
    </w:p>
    <w:p>
      <w:pPr>
        <w:ind w:firstLine="422" w:firstLineChars="200"/>
        <w:rPr>
          <w:rFonts w:ascii="Calibri" w:hAnsi="Calibri" w:eastAsia="宋体" w:cs="Times New Roman"/>
        </w:rPr>
      </w:pPr>
      <w:r>
        <w:rPr>
          <w:rFonts w:ascii="Calibri" w:hAnsi="Calibri" w:eastAsia="宋体" w:cs="Times New Roman"/>
          <w:b/>
        </w:rPr>
        <w:t>需求</w:t>
      </w:r>
      <w:r>
        <w:rPr>
          <w:rFonts w:hint="eastAsia" w:ascii="Calibri" w:hAnsi="Calibri" w:eastAsia="宋体" w:cs="Times New Roman"/>
          <w:b/>
        </w:rPr>
        <w:t>：</w:t>
      </w:r>
      <w:r>
        <w:rPr>
          <w:rFonts w:hint="eastAsia" w:ascii="Calibri" w:hAnsi="Calibri" w:eastAsia="宋体" w:cs="Times New Roman"/>
        </w:rPr>
        <w:t>出口需求不向好，较17年大幅回落，较18年小回落，刚需春节后暂未回复，期现套利需求部分释放出来，主要是由于对宏观的额一个短好预期，但是华东阴雨天气对地产和基建开工延迟现象增加，开工受限。</w:t>
      </w:r>
    </w:p>
    <w:p>
      <w:pPr>
        <w:ind w:firstLine="422" w:firstLineChars="200"/>
        <w:rPr>
          <w:rFonts w:ascii="Calibri" w:hAnsi="Calibri" w:eastAsia="宋体" w:cs="Times New Roman"/>
        </w:rPr>
      </w:pPr>
      <w:r>
        <w:rPr>
          <w:rFonts w:ascii="Calibri" w:hAnsi="Calibri" w:eastAsia="宋体" w:cs="Times New Roman"/>
          <w:b/>
        </w:rPr>
        <w:t>库存</w:t>
      </w:r>
      <w:r>
        <w:rPr>
          <w:rFonts w:hint="eastAsia" w:ascii="Calibri" w:hAnsi="Calibri" w:eastAsia="宋体" w:cs="Times New Roman"/>
          <w:b/>
        </w:rPr>
        <w:t>：</w:t>
      </w:r>
      <w:r>
        <w:rPr>
          <w:rFonts w:hint="eastAsia" w:ascii="Calibri" w:hAnsi="Calibri" w:eastAsia="宋体" w:cs="Times New Roman"/>
        </w:rPr>
        <w:t>库存季节性累积水平虽然超预期，但是社会库存去化也算顺利，到目前位置也不是特别大，</w:t>
      </w:r>
    </w:p>
    <w:p>
      <w:pPr>
        <w:ind w:firstLine="422" w:firstLineChars="200"/>
        <w:rPr>
          <w:rFonts w:ascii="Calibri" w:hAnsi="Calibri" w:eastAsia="宋体" w:cs="Times New Roman"/>
        </w:rPr>
      </w:pPr>
      <w:r>
        <w:rPr>
          <w:rFonts w:ascii="Calibri" w:hAnsi="Calibri" w:eastAsia="宋体" w:cs="Times New Roman"/>
          <w:b/>
        </w:rPr>
        <w:t>交易提示</w:t>
      </w:r>
      <w:r>
        <w:rPr>
          <w:rFonts w:hint="eastAsia" w:ascii="Calibri" w:hAnsi="Calibri" w:eastAsia="宋体" w:cs="Times New Roman"/>
          <w:b/>
        </w:rPr>
        <w:t>：</w:t>
      </w:r>
      <w:r>
        <w:rPr>
          <w:rFonts w:hint="eastAsia" w:ascii="Calibri" w:hAnsi="Calibri" w:eastAsia="宋体" w:cs="Times New Roman"/>
        </w:rPr>
        <w:t>供应增加，房地产需求不好把握，库存压力短期难缓释，下游开工南方或受天气影响还不确定，但是元宵后明显去库变快，出口需求同比减少，产业利润仍可通过电石价格压缩，重点关注短期内库存波动，风险在于地产和基建。电石价格稍涨，产业李若回调，供应高位，下游开工南方受到天气延迟或半开工状态，出口需求同比减少，房地产需求不好把握，重点观测动态库存流向。</w:t>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b/>
          <w:sz w:val="28"/>
          <w:szCs w:val="28"/>
        </w:rPr>
        <w:drawing>
          <wp:inline distT="0" distB="0" distL="0" distR="0">
            <wp:extent cx="2519680" cy="1619885"/>
            <wp:effectExtent l="0" t="0" r="13970" b="1841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jc w:val="both"/>
        <w:rPr>
          <w:b/>
          <w:sz w:val="28"/>
          <w:szCs w:val="28"/>
        </w:rPr>
      </w:pPr>
      <w:r>
        <w:rPr>
          <w:rFonts w:hint="eastAsia"/>
          <w:b/>
          <w:sz w:val="28"/>
          <w:szCs w:val="28"/>
        </w:rPr>
        <w:t>甲醇</w:t>
      </w:r>
      <w:r>
        <w:rPr>
          <w:rFonts w:hint="eastAsia"/>
          <w:b/>
          <w:sz w:val="28"/>
          <w:szCs w:val="28"/>
          <w:lang w:eastAsia="zh-CN"/>
        </w:rPr>
        <w:t>：</w:t>
      </w:r>
    </w:p>
    <w:p>
      <w:pPr>
        <w:ind w:firstLine="422" w:firstLineChars="200"/>
        <w:rPr>
          <w:rFonts w:ascii="Calibri" w:hAnsi="Calibri" w:eastAsia="宋体" w:cs="Times New Roman"/>
          <w:b/>
        </w:rPr>
      </w:pPr>
      <w:r>
        <w:rPr>
          <w:rFonts w:ascii="Calibri" w:hAnsi="Calibri" w:eastAsia="宋体" w:cs="Times New Roman"/>
          <w:b/>
        </w:rPr>
        <w:t>价格</w:t>
      </w:r>
      <w:r>
        <w:rPr>
          <w:rFonts w:hint="eastAsia" w:ascii="Calibri" w:hAnsi="Calibri" w:eastAsia="宋体" w:cs="Times New Roman"/>
          <w:b/>
        </w:rPr>
        <w:t>及利润：</w:t>
      </w:r>
      <w:r>
        <w:rPr>
          <w:rFonts w:hint="eastAsia" w:ascii="Calibri" w:hAnsi="Calibri" w:eastAsia="宋体" w:cs="Times New Roman"/>
        </w:rPr>
        <w:t>西南气头装置的复产预期走强，MTO经济性表现向好，内地出货价格偏低，元宵节后物流的恢复而使得内地现货运输到港口便利，港口现货压力倍增，加之春节累库情况。目前整体估值水平矛盾还是偏弱的，因为上游利润因煤油比价有压缩空间，利润可有下落，甲醇还可下跌，下游利润尚可，相关品价差偏低，月差维持远月升水，短弱长强的格局。</w:t>
      </w:r>
    </w:p>
    <w:p>
      <w:pPr>
        <w:ind w:firstLine="422" w:firstLineChars="200"/>
        <w:rPr>
          <w:rFonts w:ascii="Calibri" w:hAnsi="Calibri" w:eastAsia="宋体" w:cs="Times New Roman"/>
        </w:rPr>
      </w:pPr>
      <w:r>
        <w:rPr>
          <w:rFonts w:hint="eastAsia" w:ascii="Calibri" w:hAnsi="Calibri" w:eastAsia="宋体" w:cs="Times New Roman"/>
          <w:b/>
        </w:rPr>
        <w:t>供需：</w:t>
      </w:r>
      <w:r>
        <w:rPr>
          <w:rFonts w:hint="eastAsia" w:ascii="Calibri" w:hAnsi="Calibri" w:eastAsia="宋体" w:cs="Times New Roman"/>
        </w:rPr>
        <w:t>现有MTO装置均处于运行状态，上游关注外盘检修情况，传统下游需求恢复情况不向好，短期还是一个供需偏弱的态势。</w:t>
      </w:r>
    </w:p>
    <w:p>
      <w:pPr>
        <w:ind w:firstLine="422" w:firstLineChars="200"/>
        <w:rPr>
          <w:rFonts w:ascii="Calibri" w:hAnsi="Calibri" w:eastAsia="宋体" w:cs="Times New Roman"/>
        </w:rPr>
      </w:pPr>
      <w:r>
        <w:rPr>
          <w:rFonts w:ascii="Calibri" w:hAnsi="Calibri" w:eastAsia="宋体" w:cs="Times New Roman"/>
          <w:b/>
        </w:rPr>
        <w:t>库存</w:t>
      </w:r>
      <w:r>
        <w:rPr>
          <w:rFonts w:hint="eastAsia" w:ascii="Calibri" w:hAnsi="Calibri" w:eastAsia="宋体" w:cs="Times New Roman"/>
          <w:b/>
        </w:rPr>
        <w:t>：</w:t>
      </w:r>
      <w:r>
        <w:rPr>
          <w:rFonts w:hint="eastAsia" w:ascii="Calibri" w:hAnsi="Calibri" w:eastAsia="宋体" w:cs="Times New Roman"/>
        </w:rPr>
        <w:t>港口库存压力仍是较大的，内地工厂库存因物流区域套利打开而慢慢缓释了，显性的库存压力仍是看到的主要矛盾。</w:t>
      </w:r>
    </w:p>
    <w:p>
      <w:pPr>
        <w:ind w:firstLine="422" w:firstLineChars="200"/>
        <w:rPr>
          <w:rFonts w:ascii="Calibri" w:hAnsi="Calibri" w:eastAsia="宋体" w:cs="Times New Roman"/>
        </w:rPr>
      </w:pPr>
      <w:r>
        <w:rPr>
          <w:rFonts w:ascii="Calibri" w:hAnsi="Calibri" w:eastAsia="宋体" w:cs="Times New Roman"/>
          <w:b/>
        </w:rPr>
        <w:t>交易提示</w:t>
      </w:r>
      <w:r>
        <w:rPr>
          <w:rFonts w:hint="eastAsia" w:ascii="Calibri" w:hAnsi="Calibri" w:eastAsia="宋体" w:cs="Times New Roman"/>
          <w:b/>
        </w:rPr>
        <w:t>：</w:t>
      </w:r>
      <w:r>
        <w:rPr>
          <w:rFonts w:hint="eastAsia" w:ascii="Calibri" w:hAnsi="Calibri" w:eastAsia="宋体" w:cs="Times New Roman"/>
        </w:rPr>
        <w:t>供应增加，现货库存压力大，液体化工又受到天气运输方面原因去库困难，内地货源充足虽价格较低，往港口运输不易，由于较高的煤油比价使得煤价还有下降空间，对甲醇利润是有伸，甲醇价格还可下落，尽管mto装置开工是有支撑，但不及供需向弱矛盾，关注内地货源消化情况和国外检修。</w:t>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rPr>
          <w:rFonts w:ascii="Calibri" w:hAnsi="Calibri" w:eastAsia="宋体" w:cs="Times New Roman"/>
        </w:rPr>
      </w:pPr>
      <w:r>
        <w:rPr>
          <w:rFonts w:ascii="Calibri" w:hAnsi="Calibri" w:eastAsia="宋体" w:cs="Times New Roman"/>
        </w:rPr>
        <w:drawing>
          <wp:inline distT="0" distB="0" distL="0" distR="0">
            <wp:extent cx="2519680" cy="1619885"/>
            <wp:effectExtent l="0" t="0" r="13970" b="1841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ascii="Calibri" w:hAnsi="Calibri" w:eastAsia="宋体" w:cs="Times New Roman"/>
        </w:rPr>
        <w:drawing>
          <wp:inline distT="0" distB="0" distL="0" distR="0">
            <wp:extent cx="2519680" cy="1619885"/>
            <wp:effectExtent l="0" t="0" r="13970" b="1841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spacing w:line="360" w:lineRule="auto"/>
        <w:rPr>
          <w:rFonts w:hint="eastAsia" w:eastAsia="宋体"/>
          <w:b/>
          <w:bCs/>
          <w:sz w:val="28"/>
          <w:szCs w:val="28"/>
          <w:lang w:val="en-US" w:eastAsia="zh-CN"/>
        </w:rPr>
      </w:pPr>
      <w:r>
        <w:rPr>
          <w:rFonts w:hint="eastAsia"/>
          <w:b/>
          <w:bCs/>
          <w:sz w:val="28"/>
          <w:szCs w:val="28"/>
          <w:lang w:val="en-US" w:eastAsia="zh-CN"/>
        </w:rPr>
        <w:t>有色板块：</w:t>
      </w:r>
    </w:p>
    <w:bookmarkEnd w:id="0"/>
    <w:p>
      <w:pPr>
        <w:rPr>
          <w:b/>
          <w:szCs w:val="21"/>
        </w:rPr>
      </w:pPr>
      <w:bookmarkStart w:id="1" w:name="_Hlk505344099"/>
      <w:r>
        <w:rPr>
          <w:rFonts w:hint="eastAsia"/>
          <w:b/>
          <w:szCs w:val="21"/>
        </w:rPr>
        <w:t>沪铜：</w:t>
      </w:r>
    </w:p>
    <w:p>
      <w:pPr>
        <w:ind w:firstLine="420" w:firstLineChars="200"/>
        <w:rPr>
          <w:szCs w:val="21"/>
        </w:rPr>
      </w:pPr>
      <w:r>
        <w:rPr>
          <w:rFonts w:hint="eastAsia"/>
          <w:szCs w:val="21"/>
        </w:rPr>
        <w:t>供需:</w:t>
      </w:r>
      <w:r>
        <w:rPr>
          <w:szCs w:val="21"/>
        </w:rPr>
        <w:t xml:space="preserve"> </w:t>
      </w:r>
      <w:r>
        <w:rPr>
          <w:rFonts w:hint="eastAsia"/>
          <w:szCs w:val="21"/>
        </w:rPr>
        <w:t>国际铜业研究小组(ICSG)在最新的月报中称，2018年11月全球精炼铜市场供不应求52,000吨，10月为供应过剩1,000吨。ICSG表示，2018年前11个月，铜市供应短缺39.6万吨，上年同期为短缺28.2万吨。2018年11月，全球精炼铜产量为203万吨，消费量为209万吨。中国保税仓库铜库存短缺42,000吨，10月为过剩6,000吨。全球最大矿商必和必拓发布的财报显示，公司2018财年上半年营业利润下降8%，受铜业务收入大幅下滑拖累。 造成这一现象的原因为Escondida铜矿矿石品质下降及全球生产数次中断。不过，公司小幅上调2019财年铜产量预估至164.5-174万吨。</w:t>
      </w:r>
    </w:p>
    <w:p>
      <w:pPr>
        <w:ind w:firstLine="420" w:firstLineChars="200"/>
        <w:rPr>
          <w:szCs w:val="21"/>
        </w:rPr>
      </w:pPr>
      <w:r>
        <w:rPr>
          <w:rFonts w:hint="eastAsia"/>
          <w:szCs w:val="21"/>
        </w:rPr>
        <w:t>价格：本周末现货价格较周初价格走高。根据长江有色网铜现货均价的基差观察，基差一度升水，随后回落至在-80至-120区间。相反，LME的现货基差本周</w:t>
      </w:r>
      <w:r>
        <w:rPr>
          <w:szCs w:val="21"/>
        </w:rPr>
        <w:t>表现</w:t>
      </w:r>
      <w:r>
        <w:rPr>
          <w:rFonts w:hint="eastAsia"/>
          <w:szCs w:val="21"/>
        </w:rPr>
        <w:t>平稳，一直处于0至40的</w:t>
      </w:r>
      <w:r>
        <w:rPr>
          <w:szCs w:val="21"/>
        </w:rPr>
        <w:t>区间</w:t>
      </w:r>
      <w:r>
        <w:rPr>
          <w:rFonts w:hint="eastAsia"/>
          <w:szCs w:val="21"/>
        </w:rPr>
        <w:t>。基差反应国内供需较国外更为宽松，</w:t>
      </w:r>
      <w:r>
        <w:rPr>
          <w:szCs w:val="21"/>
        </w:rPr>
        <w:t>但波动</w:t>
      </w:r>
      <w:r>
        <w:rPr>
          <w:rFonts w:hint="eastAsia"/>
          <w:szCs w:val="21"/>
        </w:rPr>
        <w:t>已经逐渐浮现。</w:t>
      </w:r>
    </w:p>
    <w:p>
      <w:pPr>
        <w:jc w:val="center"/>
        <w:rPr>
          <w:szCs w:val="21"/>
        </w:rPr>
      </w:pPr>
      <w:r>
        <w:rPr>
          <w:rFonts w:hint="eastAsia"/>
          <w:szCs w:val="21"/>
        </w:rPr>
        <w:t>图1：本周铜现货价格                        图2:现货铜价基差</w:t>
      </w:r>
    </w:p>
    <w:p>
      <w:pPr>
        <w:rPr>
          <w:szCs w:val="21"/>
        </w:rPr>
      </w:pPr>
      <w:r>
        <w:rPr>
          <w:szCs w:val="21"/>
        </w:rPr>
        <w:drawing>
          <wp:inline distT="0" distB="0" distL="0" distR="0">
            <wp:extent cx="2543175" cy="1276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2543175" cy="1276350"/>
                    </a:xfrm>
                    <a:prstGeom prst="rect">
                      <a:avLst/>
                    </a:prstGeom>
                    <a:noFill/>
                    <a:ln>
                      <a:noFill/>
                    </a:ln>
                  </pic:spPr>
                </pic:pic>
              </a:graphicData>
            </a:graphic>
          </wp:inline>
        </w:drawing>
      </w:r>
      <w:r>
        <w:rPr>
          <w:rFonts w:hint="eastAsia"/>
          <w:szCs w:val="21"/>
        </w:rPr>
        <w:t xml:space="preserve">   </w:t>
      </w:r>
      <w:r>
        <w:rPr>
          <w:szCs w:val="21"/>
        </w:rPr>
        <w:drawing>
          <wp:inline distT="0" distB="0" distL="0" distR="0">
            <wp:extent cx="2552700" cy="1276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552700" cy="1276350"/>
                    </a:xfrm>
                    <a:prstGeom prst="rect">
                      <a:avLst/>
                    </a:prstGeom>
                    <a:noFill/>
                    <a:ln>
                      <a:noFill/>
                    </a:ln>
                  </pic:spPr>
                </pic:pic>
              </a:graphicData>
            </a:graphic>
          </wp:inline>
        </w:drawing>
      </w:r>
      <w:r>
        <w:rPr>
          <w:rFonts w:hint="eastAsia"/>
          <w:szCs w:val="21"/>
        </w:rPr>
        <w:t xml:space="preserve"> </w:t>
      </w:r>
    </w:p>
    <w:p>
      <w:pPr>
        <w:rPr>
          <w:szCs w:val="21"/>
        </w:rPr>
      </w:pPr>
      <w:r>
        <w:rPr>
          <w:rFonts w:hint="eastAsia"/>
          <w:szCs w:val="21"/>
        </w:rPr>
        <w:t>数据来源：Wind，新世纪研究院</w:t>
      </w:r>
    </w:p>
    <w:p>
      <w:pPr>
        <w:ind w:firstLine="420" w:firstLineChars="200"/>
        <w:rPr>
          <w:szCs w:val="21"/>
        </w:rPr>
      </w:pPr>
      <w:r>
        <w:rPr>
          <w:rFonts w:hint="eastAsia"/>
          <w:szCs w:val="21"/>
        </w:rPr>
        <w:t>商品曲线：本周沪铜出现换月</w:t>
      </w:r>
      <w:r>
        <w:rPr>
          <w:szCs w:val="21"/>
        </w:rPr>
        <w:t>，</w:t>
      </w:r>
      <w:r>
        <w:rPr>
          <w:rFonts w:hint="eastAsia"/>
          <w:szCs w:val="21"/>
        </w:rPr>
        <w:t>除190</w:t>
      </w:r>
      <w:r>
        <w:rPr>
          <w:szCs w:val="21"/>
        </w:rPr>
        <w:t>3</w:t>
      </w:r>
      <w:r>
        <w:rPr>
          <w:rFonts w:hint="eastAsia"/>
          <w:szCs w:val="21"/>
        </w:rPr>
        <w:t>合约</w:t>
      </w:r>
      <w:r>
        <w:rPr>
          <w:szCs w:val="21"/>
        </w:rPr>
        <w:t>较为强势</w:t>
      </w:r>
      <w:r>
        <w:rPr>
          <w:rFonts w:hint="eastAsia"/>
          <w:szCs w:val="21"/>
        </w:rPr>
        <w:t>外</w:t>
      </w:r>
      <w:r>
        <w:rPr>
          <w:szCs w:val="21"/>
        </w:rPr>
        <w:t>，</w:t>
      </w:r>
      <w:r>
        <w:rPr>
          <w:rFonts w:hint="eastAsia"/>
          <w:szCs w:val="21"/>
        </w:rPr>
        <w:t>整体沪铜期限结构趋平。本周沪铜连三-连续合约的价差因换月</w:t>
      </w:r>
      <w:r>
        <w:rPr>
          <w:szCs w:val="21"/>
        </w:rPr>
        <w:t>而缩窄</w:t>
      </w:r>
      <w:r>
        <w:rPr>
          <w:rFonts w:hint="eastAsia"/>
          <w:szCs w:val="21"/>
        </w:rPr>
        <w:t>。从comex铜的期限结构看，近端出现近月升水，backwardation</w:t>
      </w:r>
      <w:r>
        <w:rPr>
          <w:szCs w:val="21"/>
        </w:rPr>
        <w:t>强度较前一周有所</w:t>
      </w:r>
      <w:r>
        <w:rPr>
          <w:rFonts w:hint="eastAsia"/>
          <w:szCs w:val="21"/>
        </w:rPr>
        <w:t>增加</w:t>
      </w:r>
      <w:r>
        <w:rPr>
          <w:szCs w:val="21"/>
        </w:rPr>
        <w:t>，</w:t>
      </w:r>
      <w:r>
        <w:rPr>
          <w:rFonts w:hint="eastAsia"/>
          <w:szCs w:val="21"/>
        </w:rPr>
        <w:t>总体曲线后半</w:t>
      </w:r>
      <w:r>
        <w:rPr>
          <w:szCs w:val="21"/>
        </w:rPr>
        <w:t>部分</w:t>
      </w:r>
      <w:r>
        <w:rPr>
          <w:rFonts w:hint="eastAsia"/>
          <w:szCs w:val="21"/>
        </w:rPr>
        <w:t>还是远期升水，与LME的基差所反应的结果一致，即近期外部铜供需较国内更为乐观。</w:t>
      </w:r>
    </w:p>
    <w:p>
      <w:pPr>
        <w:jc w:val="center"/>
        <w:rPr>
          <w:szCs w:val="21"/>
        </w:rPr>
      </w:pPr>
      <w:r>
        <w:rPr>
          <w:rFonts w:hint="eastAsia"/>
          <w:szCs w:val="21"/>
        </w:rPr>
        <w:t xml:space="preserve">图3：沪铜期限结构图 </w:t>
      </w:r>
      <w:r>
        <w:rPr>
          <w:szCs w:val="21"/>
        </w:rPr>
        <w:t xml:space="preserve">                      </w:t>
      </w:r>
      <w:r>
        <w:rPr>
          <w:rFonts w:hint="eastAsia"/>
          <w:szCs w:val="21"/>
        </w:rPr>
        <w:t xml:space="preserve">   图4：comex铜期限结构</w:t>
      </w:r>
    </w:p>
    <w:p>
      <w:pPr>
        <w:jc w:val="center"/>
        <w:rPr>
          <w:szCs w:val="21"/>
        </w:rPr>
      </w:pPr>
      <w:r>
        <w:rPr>
          <w:szCs w:val="21"/>
        </w:rPr>
        <w:drawing>
          <wp:inline distT="0" distB="0" distL="0" distR="0">
            <wp:extent cx="2571750" cy="12287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571750" cy="1228725"/>
                    </a:xfrm>
                    <a:prstGeom prst="rect">
                      <a:avLst/>
                    </a:prstGeom>
                    <a:noFill/>
                    <a:ln>
                      <a:noFill/>
                    </a:ln>
                  </pic:spPr>
                </pic:pic>
              </a:graphicData>
            </a:graphic>
          </wp:inline>
        </w:drawing>
      </w:r>
      <w:r>
        <w:rPr>
          <w:szCs w:val="21"/>
        </w:rPr>
        <w:t xml:space="preserve">  </w:t>
      </w:r>
      <w:r>
        <w:rPr>
          <w:szCs w:val="21"/>
        </w:rPr>
        <w:drawing>
          <wp:inline distT="0" distB="0" distL="0" distR="0">
            <wp:extent cx="2609850" cy="12382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609850" cy="1238250"/>
                    </a:xfrm>
                    <a:prstGeom prst="rect">
                      <a:avLst/>
                    </a:prstGeom>
                    <a:noFill/>
                    <a:ln>
                      <a:noFill/>
                    </a:ln>
                  </pic:spPr>
                </pic:pic>
              </a:graphicData>
            </a:graphic>
          </wp:inline>
        </w:drawing>
      </w:r>
      <w:r>
        <w:rPr>
          <w:rFonts w:hint="eastAsia"/>
          <w:szCs w:val="21"/>
        </w:rPr>
        <w:t xml:space="preserve">  </w:t>
      </w:r>
    </w:p>
    <w:p>
      <w:pPr>
        <w:rPr>
          <w:szCs w:val="21"/>
        </w:rPr>
      </w:pPr>
      <w:r>
        <w:rPr>
          <w:rFonts w:hint="eastAsia"/>
          <w:szCs w:val="21"/>
        </w:rPr>
        <w:t>数据来源：Wind，新世纪研究院</w:t>
      </w:r>
    </w:p>
    <w:p>
      <w:pPr>
        <w:jc w:val="center"/>
        <w:rPr>
          <w:szCs w:val="21"/>
        </w:rPr>
      </w:pPr>
      <w:r>
        <w:rPr>
          <w:rFonts w:hint="eastAsia"/>
          <w:szCs w:val="21"/>
        </w:rPr>
        <w:t>图5：沪铜连三价差</w:t>
      </w:r>
    </w:p>
    <w:p>
      <w:pPr>
        <w:jc w:val="center"/>
        <w:rPr>
          <w:szCs w:val="21"/>
        </w:rPr>
      </w:pPr>
      <w:r>
        <w:rPr>
          <w:szCs w:val="21"/>
        </w:rPr>
        <w:drawing>
          <wp:inline distT="0" distB="0" distL="0" distR="0">
            <wp:extent cx="2571750" cy="1371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2571750" cy="1371600"/>
                    </a:xfrm>
                    <a:prstGeom prst="rect">
                      <a:avLst/>
                    </a:prstGeom>
                    <a:noFill/>
                    <a:ln>
                      <a:noFill/>
                    </a:ln>
                  </pic:spPr>
                </pic:pic>
              </a:graphicData>
            </a:graphic>
          </wp:inline>
        </w:drawing>
      </w:r>
    </w:p>
    <w:p>
      <w:pPr>
        <w:rPr>
          <w:szCs w:val="21"/>
        </w:rPr>
      </w:pPr>
      <w:r>
        <w:rPr>
          <w:rFonts w:hint="eastAsia"/>
          <w:szCs w:val="21"/>
        </w:rPr>
        <w:t>数据来源：Wind，新世纪研究院</w:t>
      </w:r>
    </w:p>
    <w:p>
      <w:pPr>
        <w:ind w:firstLine="420" w:firstLineChars="200"/>
        <w:rPr>
          <w:szCs w:val="21"/>
        </w:rPr>
      </w:pPr>
      <w:r>
        <w:rPr>
          <w:rFonts w:hint="eastAsia"/>
          <w:szCs w:val="21"/>
        </w:rPr>
        <w:t>库存：本周三大交易所铜库总库存达到</w:t>
      </w:r>
      <w:r>
        <w:rPr>
          <w:szCs w:val="21"/>
        </w:rPr>
        <w:t>40.9</w:t>
      </w:r>
      <w:r>
        <w:rPr>
          <w:rFonts w:hint="eastAsia"/>
          <w:szCs w:val="21"/>
        </w:rPr>
        <w:t>万吨，较前一周</w:t>
      </w:r>
      <w:r>
        <w:rPr>
          <w:szCs w:val="21"/>
        </w:rPr>
        <w:t>下降</w:t>
      </w:r>
      <w:r>
        <w:rPr>
          <w:rFonts w:hint="eastAsia"/>
          <w:szCs w:val="21"/>
        </w:rPr>
        <w:t>0</w:t>
      </w:r>
      <w:r>
        <w:rPr>
          <w:szCs w:val="21"/>
        </w:rPr>
        <w:t>.5</w:t>
      </w:r>
      <w:r>
        <w:rPr>
          <w:rFonts w:hint="eastAsia"/>
          <w:szCs w:val="21"/>
        </w:rPr>
        <w:t>万吨，降幅</w:t>
      </w:r>
      <w:r>
        <w:rPr>
          <w:szCs w:val="21"/>
        </w:rPr>
        <w:t>1.22%</w:t>
      </w:r>
      <w:r>
        <w:rPr>
          <w:rFonts w:hint="eastAsia"/>
          <w:szCs w:val="21"/>
        </w:rPr>
        <w:t>。伦铜库存下滑，累计减少库存0.</w:t>
      </w:r>
      <w:r>
        <w:rPr>
          <w:szCs w:val="21"/>
        </w:rPr>
        <w:t>93</w:t>
      </w:r>
      <w:r>
        <w:rPr>
          <w:rFonts w:hint="eastAsia"/>
          <w:szCs w:val="21"/>
        </w:rPr>
        <w:t>吨至1</w:t>
      </w:r>
      <w:r>
        <w:rPr>
          <w:szCs w:val="21"/>
        </w:rPr>
        <w:t>3.38</w:t>
      </w:r>
      <w:r>
        <w:rPr>
          <w:rFonts w:hint="eastAsia"/>
          <w:szCs w:val="21"/>
        </w:rPr>
        <w:t>吨，累计降幅</w:t>
      </w:r>
      <w:r>
        <w:rPr>
          <w:szCs w:val="21"/>
        </w:rPr>
        <w:t>6.53</w:t>
      </w:r>
      <w:r>
        <w:rPr>
          <w:rFonts w:hint="eastAsia"/>
          <w:szCs w:val="21"/>
        </w:rPr>
        <w:t>%。本周沪铜库存增加</w:t>
      </w:r>
      <w:r>
        <w:rPr>
          <w:szCs w:val="21"/>
        </w:rPr>
        <w:t>1.07</w:t>
      </w:r>
      <w:r>
        <w:rPr>
          <w:rFonts w:hint="eastAsia"/>
          <w:szCs w:val="21"/>
        </w:rPr>
        <w:t>吨至2</w:t>
      </w:r>
      <w:r>
        <w:rPr>
          <w:szCs w:val="21"/>
        </w:rPr>
        <w:t>1.78</w:t>
      </w:r>
      <w:r>
        <w:rPr>
          <w:rFonts w:hint="eastAsia"/>
          <w:szCs w:val="21"/>
        </w:rPr>
        <w:t>万吨，增幅</w:t>
      </w:r>
      <w:r>
        <w:rPr>
          <w:szCs w:val="21"/>
        </w:rPr>
        <w:t>5.2</w:t>
      </w:r>
      <w:r>
        <w:rPr>
          <w:rFonts w:hint="eastAsia"/>
          <w:szCs w:val="21"/>
        </w:rPr>
        <w:t>%。Comex铜库存减少</w:t>
      </w:r>
      <w:r>
        <w:rPr>
          <w:szCs w:val="21"/>
        </w:rPr>
        <w:t>0.64</w:t>
      </w:r>
      <w:r>
        <w:rPr>
          <w:rFonts w:hint="eastAsia"/>
          <w:szCs w:val="21"/>
        </w:rPr>
        <w:t>万吨至</w:t>
      </w:r>
      <w:r>
        <w:rPr>
          <w:szCs w:val="21"/>
        </w:rPr>
        <w:t>5.736</w:t>
      </w:r>
      <w:r>
        <w:rPr>
          <w:rFonts w:hint="eastAsia"/>
          <w:szCs w:val="21"/>
        </w:rPr>
        <w:t>吨，降幅</w:t>
      </w:r>
      <w:r>
        <w:rPr>
          <w:szCs w:val="21"/>
        </w:rPr>
        <w:t>10</w:t>
      </w:r>
      <w:r>
        <w:rPr>
          <w:rFonts w:hint="eastAsia"/>
          <w:szCs w:val="21"/>
        </w:rPr>
        <w:t>%。根据历年周期性显性库存显示，2018年显性库存去化非常显著，2019年初正处于正常的累库阶段。</w:t>
      </w:r>
    </w:p>
    <w:p>
      <w:pPr>
        <w:jc w:val="center"/>
        <w:rPr>
          <w:szCs w:val="21"/>
        </w:rPr>
      </w:pPr>
      <w:r>
        <w:rPr>
          <w:rFonts w:hint="eastAsia"/>
          <w:szCs w:val="21"/>
        </w:rPr>
        <w:t>图6：全球三大交易所铜库存图                图7：全球显性铜库存年度周期性图</w:t>
      </w:r>
    </w:p>
    <w:p>
      <w:pPr>
        <w:jc w:val="center"/>
        <w:rPr>
          <w:szCs w:val="21"/>
        </w:rPr>
      </w:pPr>
      <w:r>
        <w:rPr>
          <w:szCs w:val="21"/>
        </w:rPr>
        <w:drawing>
          <wp:inline distT="0" distB="0" distL="0" distR="0">
            <wp:extent cx="2724150" cy="15144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724150" cy="1514475"/>
                    </a:xfrm>
                    <a:prstGeom prst="rect">
                      <a:avLst/>
                    </a:prstGeom>
                    <a:noFill/>
                    <a:ln>
                      <a:noFill/>
                    </a:ln>
                  </pic:spPr>
                </pic:pic>
              </a:graphicData>
            </a:graphic>
          </wp:inline>
        </w:drawing>
      </w:r>
      <w:r>
        <w:rPr>
          <w:szCs w:val="21"/>
        </w:rPr>
        <w:t xml:space="preserve"> </w:t>
      </w:r>
      <w:r>
        <w:rPr>
          <w:szCs w:val="21"/>
        </w:rPr>
        <w:drawing>
          <wp:inline distT="0" distB="0" distL="0" distR="0">
            <wp:extent cx="2476500" cy="1562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2476500" cy="1562100"/>
                    </a:xfrm>
                    <a:prstGeom prst="rect">
                      <a:avLst/>
                    </a:prstGeom>
                    <a:noFill/>
                    <a:ln>
                      <a:noFill/>
                    </a:ln>
                  </pic:spPr>
                </pic:pic>
              </a:graphicData>
            </a:graphic>
          </wp:inline>
        </w:drawing>
      </w:r>
    </w:p>
    <w:p>
      <w:pPr>
        <w:rPr>
          <w:szCs w:val="21"/>
        </w:rPr>
      </w:pPr>
      <w:r>
        <w:rPr>
          <w:rFonts w:hint="eastAsia"/>
          <w:szCs w:val="21"/>
        </w:rPr>
        <w:t>数据来源：Wind，新世纪研究院</w:t>
      </w:r>
    </w:p>
    <w:p>
      <w:pPr>
        <w:ind w:firstLine="420" w:firstLineChars="200"/>
        <w:rPr>
          <w:szCs w:val="21"/>
        </w:rPr>
      </w:pPr>
      <w:r>
        <w:rPr>
          <w:rFonts w:hint="eastAsia"/>
          <w:szCs w:val="21"/>
        </w:rPr>
        <w:t>机构持仓：最新数据显示，非商业多头持仓增加</w:t>
      </w:r>
      <w:r>
        <w:rPr>
          <w:szCs w:val="21"/>
        </w:rPr>
        <w:t>3212</w:t>
      </w:r>
      <w:r>
        <w:rPr>
          <w:rFonts w:hint="eastAsia"/>
          <w:szCs w:val="21"/>
        </w:rPr>
        <w:t>手，而空头减少持仓</w:t>
      </w:r>
      <w:r>
        <w:rPr>
          <w:szCs w:val="21"/>
        </w:rPr>
        <w:t>12619</w:t>
      </w:r>
      <w:r>
        <w:rPr>
          <w:rFonts w:hint="eastAsia"/>
          <w:szCs w:val="21"/>
        </w:rPr>
        <w:t>手，所以净多头持仓增加15831手。基金持仓反映出，目前主要变化反应在平空上，而非加多，基金持仓反应趋势偏震荡。</w:t>
      </w:r>
    </w:p>
    <w:p>
      <w:pPr>
        <w:jc w:val="center"/>
        <w:rPr>
          <w:szCs w:val="21"/>
        </w:rPr>
      </w:pPr>
      <w:r>
        <w:rPr>
          <w:rFonts w:hint="eastAsia"/>
          <w:szCs w:val="21"/>
        </w:rPr>
        <w:t>图8：CFTC非商业持仓</w:t>
      </w:r>
    </w:p>
    <w:p>
      <w:pPr>
        <w:jc w:val="center"/>
        <w:rPr>
          <w:szCs w:val="21"/>
        </w:rPr>
      </w:pPr>
      <w:r>
        <w:rPr>
          <w:szCs w:val="21"/>
        </w:rPr>
        <w:drawing>
          <wp:inline distT="0" distB="0" distL="0" distR="0">
            <wp:extent cx="4010025" cy="2066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010025" cy="2066925"/>
                    </a:xfrm>
                    <a:prstGeom prst="rect">
                      <a:avLst/>
                    </a:prstGeom>
                    <a:noFill/>
                    <a:ln>
                      <a:noFill/>
                    </a:ln>
                  </pic:spPr>
                </pic:pic>
              </a:graphicData>
            </a:graphic>
          </wp:inline>
        </w:drawing>
      </w:r>
    </w:p>
    <w:p>
      <w:pPr>
        <w:rPr>
          <w:szCs w:val="21"/>
        </w:rPr>
      </w:pPr>
      <w:r>
        <w:rPr>
          <w:rFonts w:hint="eastAsia"/>
          <w:szCs w:val="21"/>
        </w:rPr>
        <w:t>数据来源：Wind，新世纪研究院</w:t>
      </w:r>
    </w:p>
    <w:p>
      <w:pPr>
        <w:ind w:firstLine="420" w:firstLineChars="200"/>
        <w:rPr>
          <w:szCs w:val="21"/>
        </w:rPr>
      </w:pPr>
      <w:r>
        <w:rPr>
          <w:rFonts w:hint="eastAsia"/>
          <w:szCs w:val="21"/>
        </w:rPr>
        <w:t>观点：沪铜进入正常的累库阶段，全球显性库存降低，下游面临节后需求淡季。由于缺乏关键性因素，在下游需求偏弱的情况下，供给端主动收缩。持仓结构</w:t>
      </w:r>
      <w:r>
        <w:rPr>
          <w:szCs w:val="21"/>
        </w:rPr>
        <w:t>显示出</w:t>
      </w:r>
      <w:r>
        <w:rPr>
          <w:rFonts w:hint="eastAsia"/>
          <w:szCs w:val="21"/>
        </w:rPr>
        <w:t>空方</w:t>
      </w:r>
      <w:r>
        <w:rPr>
          <w:szCs w:val="21"/>
        </w:rPr>
        <w:t>在减持，</w:t>
      </w:r>
      <w:r>
        <w:rPr>
          <w:rFonts w:hint="eastAsia"/>
          <w:szCs w:val="21"/>
        </w:rPr>
        <w:t>预计沪铜主力合约下周行情</w:t>
      </w:r>
      <w:r>
        <w:rPr>
          <w:szCs w:val="21"/>
        </w:rPr>
        <w:t>较为乐观</w:t>
      </w:r>
      <w:r>
        <w:rPr>
          <w:rFonts w:hint="eastAsia"/>
          <w:szCs w:val="21"/>
        </w:rPr>
        <w:t>，波动中枢或将</w:t>
      </w:r>
      <w:r>
        <w:rPr>
          <w:szCs w:val="21"/>
        </w:rPr>
        <w:t>小幅抬升</w:t>
      </w:r>
      <w:r>
        <w:rPr>
          <w:rFonts w:hint="eastAsia"/>
          <w:szCs w:val="21"/>
        </w:rPr>
        <w:t>。</w:t>
      </w:r>
    </w:p>
    <w:p>
      <w:pPr>
        <w:ind w:firstLine="420" w:firstLineChars="200"/>
        <w:rPr>
          <w:szCs w:val="21"/>
        </w:rPr>
      </w:pPr>
    </w:p>
    <w:p>
      <w:pPr>
        <w:rPr>
          <w:b/>
          <w:szCs w:val="21"/>
        </w:rPr>
      </w:pPr>
      <w:r>
        <w:rPr>
          <w:rFonts w:hint="eastAsia"/>
          <w:b/>
          <w:szCs w:val="21"/>
        </w:rPr>
        <w:t>沪铝:</w:t>
      </w:r>
    </w:p>
    <w:p>
      <w:pPr>
        <w:pStyle w:val="84"/>
        <w:spacing w:before="0" w:beforeAutospacing="0" w:after="150" w:afterAutospacing="0"/>
        <w:ind w:firstLine="420" w:firstLineChars="200"/>
        <w:rPr>
          <w:kern w:val="2"/>
          <w:sz w:val="21"/>
          <w:szCs w:val="21"/>
        </w:rPr>
      </w:pPr>
      <w:r>
        <w:rPr>
          <w:rFonts w:hint="eastAsia"/>
          <w:kern w:val="2"/>
          <w:sz w:val="21"/>
          <w:szCs w:val="21"/>
        </w:rPr>
        <w:t>供需：国际铝业协会（IAI）公布的数据显示，全球1月原铝产量较前月减少2.3万吨，至218.5万吨，较上年同期减少3.3万吨。SMM统计中国1月原铝产量为296.9万吨。2月21日,全国主要消费地区6063铝棒库存：佛山地区8.9万吨，无锡2.77万吨，常州2.2万吨，湖州1万吨，南昌1.58万吨，五地合计16.45万吨，周比减少0.48万吨。</w:t>
      </w:r>
    </w:p>
    <w:p>
      <w:pPr>
        <w:ind w:firstLine="420" w:firstLineChars="200"/>
        <w:rPr>
          <w:szCs w:val="21"/>
        </w:rPr>
      </w:pPr>
      <w:r>
        <w:rPr>
          <w:rFonts w:hint="eastAsia"/>
          <w:szCs w:val="21"/>
        </w:rPr>
        <w:t>价格：本周现货铝价呈现上涨，周末价格较周初平均上涨1</w:t>
      </w:r>
      <w:r>
        <w:rPr>
          <w:szCs w:val="21"/>
        </w:rPr>
        <w:t>2</w:t>
      </w:r>
      <w:r>
        <w:rPr>
          <w:rFonts w:hint="eastAsia"/>
          <w:szCs w:val="21"/>
        </w:rPr>
        <w:t>0元/吨。长江铝价基差显示，现货基差维持平稳</w:t>
      </w:r>
      <w:r>
        <w:rPr>
          <w:szCs w:val="21"/>
        </w:rPr>
        <w:t>贴水</w:t>
      </w:r>
      <w:r>
        <w:rPr>
          <w:rFonts w:hint="eastAsia"/>
          <w:szCs w:val="21"/>
        </w:rPr>
        <w:t>。同样，LME现货铝价基差也呈现贴水减弱，内外市场铝价开始好转。本周氧化铝和预焙阳极价格保持平稳，但仍处于价格下跌通道。</w:t>
      </w:r>
    </w:p>
    <w:p>
      <w:pPr>
        <w:jc w:val="center"/>
        <w:rPr>
          <w:szCs w:val="21"/>
        </w:rPr>
      </w:pPr>
      <w:r>
        <w:rPr>
          <w:rFonts w:hint="eastAsia"/>
          <w:szCs w:val="21"/>
        </w:rPr>
        <w:t xml:space="preserve">图1：现货铝价                                  图2：现货铝升贴水   </w:t>
      </w:r>
    </w:p>
    <w:p>
      <w:pPr>
        <w:rPr>
          <w:szCs w:val="21"/>
        </w:rPr>
      </w:pPr>
      <w:r>
        <w:rPr>
          <w:szCs w:val="21"/>
        </w:rPr>
        <w:drawing>
          <wp:inline distT="0" distB="0" distL="0" distR="0">
            <wp:extent cx="2619375" cy="1362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619375" cy="1362075"/>
                    </a:xfrm>
                    <a:prstGeom prst="rect">
                      <a:avLst/>
                    </a:prstGeom>
                    <a:noFill/>
                    <a:ln>
                      <a:noFill/>
                    </a:ln>
                  </pic:spPr>
                </pic:pic>
              </a:graphicData>
            </a:graphic>
          </wp:inline>
        </w:drawing>
      </w:r>
      <w:r>
        <w:rPr>
          <w:szCs w:val="21"/>
        </w:rPr>
        <w:t xml:space="preserve"> </w:t>
      </w:r>
      <w:r>
        <w:rPr>
          <w:szCs w:val="21"/>
        </w:rPr>
        <w:drawing>
          <wp:inline distT="0" distB="0" distL="0" distR="0">
            <wp:extent cx="2600325" cy="1390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2600325" cy="1390650"/>
                    </a:xfrm>
                    <a:prstGeom prst="rect">
                      <a:avLst/>
                    </a:prstGeom>
                    <a:noFill/>
                    <a:ln>
                      <a:noFill/>
                    </a:ln>
                  </pic:spPr>
                </pic:pic>
              </a:graphicData>
            </a:graphic>
          </wp:inline>
        </w:drawing>
      </w:r>
      <w:r>
        <w:rPr>
          <w:rFonts w:hint="eastAsia"/>
          <w:szCs w:val="21"/>
        </w:rPr>
        <w:t xml:space="preserve">              </w:t>
      </w:r>
    </w:p>
    <w:p>
      <w:pPr>
        <w:rPr>
          <w:szCs w:val="21"/>
        </w:rPr>
      </w:pPr>
      <w:r>
        <w:rPr>
          <w:rFonts w:hint="eastAsia"/>
          <w:szCs w:val="21"/>
        </w:rPr>
        <w:t>数据来源：Wind，新世纪研究院</w:t>
      </w:r>
    </w:p>
    <w:p>
      <w:pPr>
        <w:jc w:val="center"/>
        <w:rPr>
          <w:szCs w:val="21"/>
        </w:rPr>
      </w:pPr>
      <w:r>
        <w:rPr>
          <w:rFonts w:hint="eastAsia"/>
          <w:szCs w:val="21"/>
        </w:rPr>
        <w:t>图</w:t>
      </w:r>
      <w:r>
        <w:rPr>
          <w:szCs w:val="21"/>
        </w:rPr>
        <w:t>3</w:t>
      </w:r>
      <w:r>
        <w:rPr>
          <w:rFonts w:hint="eastAsia"/>
          <w:szCs w:val="21"/>
        </w:rPr>
        <w:t>：氧化铝价格图                       图4：预焙阳极价格</w:t>
      </w:r>
    </w:p>
    <w:p>
      <w:pPr>
        <w:jc w:val="center"/>
        <w:rPr>
          <w:szCs w:val="21"/>
        </w:rPr>
      </w:pPr>
      <w:r>
        <w:rPr>
          <w:szCs w:val="21"/>
        </w:rPr>
        <w:drawing>
          <wp:inline distT="0" distB="0" distL="0" distR="0">
            <wp:extent cx="2552700" cy="1419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2552700" cy="1419225"/>
                    </a:xfrm>
                    <a:prstGeom prst="rect">
                      <a:avLst/>
                    </a:prstGeom>
                    <a:noFill/>
                    <a:ln>
                      <a:noFill/>
                    </a:ln>
                  </pic:spPr>
                </pic:pic>
              </a:graphicData>
            </a:graphic>
          </wp:inline>
        </w:drawing>
      </w:r>
      <w:r>
        <w:rPr>
          <w:rFonts w:hint="eastAsia"/>
          <w:szCs w:val="21"/>
        </w:rPr>
        <w:t xml:space="preserve">  </w:t>
      </w:r>
      <w:r>
        <w:rPr>
          <w:szCs w:val="21"/>
        </w:rPr>
        <w:drawing>
          <wp:inline distT="0" distB="0" distL="0" distR="0">
            <wp:extent cx="2514600" cy="1371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2514600" cy="1371600"/>
                    </a:xfrm>
                    <a:prstGeom prst="rect">
                      <a:avLst/>
                    </a:prstGeom>
                    <a:noFill/>
                    <a:ln>
                      <a:noFill/>
                    </a:ln>
                  </pic:spPr>
                </pic:pic>
              </a:graphicData>
            </a:graphic>
          </wp:inline>
        </w:drawing>
      </w:r>
    </w:p>
    <w:p>
      <w:pPr>
        <w:rPr>
          <w:szCs w:val="21"/>
        </w:rPr>
      </w:pPr>
      <w:r>
        <w:rPr>
          <w:rFonts w:hint="eastAsia"/>
          <w:szCs w:val="21"/>
        </w:rPr>
        <w:t>数据来源：Wind，新世纪研究院</w:t>
      </w:r>
    </w:p>
    <w:p>
      <w:pPr>
        <w:ind w:firstLine="420" w:firstLineChars="200"/>
        <w:rPr>
          <w:szCs w:val="21"/>
        </w:rPr>
      </w:pPr>
      <w:r>
        <w:rPr>
          <w:rFonts w:hint="eastAsia"/>
          <w:szCs w:val="21"/>
        </w:rPr>
        <w:t>商品曲线：沪铝商品曲线仍显示出较深的contango，曲线显示目前铝价仍较为弱势，但不适宜做空。铜铝比价已反弹至3.6</w:t>
      </w:r>
      <w:r>
        <w:rPr>
          <w:szCs w:val="21"/>
        </w:rPr>
        <w:t>3</w:t>
      </w:r>
      <w:r>
        <w:rPr>
          <w:rFonts w:hint="eastAsia"/>
          <w:szCs w:val="21"/>
        </w:rPr>
        <w:t>附近，开始进入适合的比价做空区间。</w:t>
      </w:r>
    </w:p>
    <w:p>
      <w:pPr>
        <w:jc w:val="center"/>
        <w:rPr>
          <w:szCs w:val="21"/>
        </w:rPr>
      </w:pPr>
      <w:r>
        <w:rPr>
          <w:rFonts w:hint="eastAsia"/>
          <w:szCs w:val="21"/>
        </w:rPr>
        <w:t>图</w:t>
      </w:r>
      <w:r>
        <w:rPr>
          <w:szCs w:val="21"/>
        </w:rPr>
        <w:t>5</w:t>
      </w:r>
      <w:r>
        <w:rPr>
          <w:rFonts w:hint="eastAsia"/>
          <w:szCs w:val="21"/>
        </w:rPr>
        <w:t>：沪铝商品曲线</w:t>
      </w:r>
    </w:p>
    <w:p>
      <w:pPr>
        <w:ind w:firstLine="420" w:firstLineChars="200"/>
        <w:jc w:val="center"/>
        <w:rPr>
          <w:szCs w:val="21"/>
        </w:rPr>
      </w:pPr>
      <w:r>
        <w:rPr>
          <w:szCs w:val="21"/>
        </w:rPr>
        <w:drawing>
          <wp:inline distT="0" distB="0" distL="0" distR="0">
            <wp:extent cx="3514725" cy="1790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3514725" cy="1790700"/>
                    </a:xfrm>
                    <a:prstGeom prst="rect">
                      <a:avLst/>
                    </a:prstGeom>
                    <a:noFill/>
                    <a:ln>
                      <a:noFill/>
                    </a:ln>
                  </pic:spPr>
                </pic:pic>
              </a:graphicData>
            </a:graphic>
          </wp:inline>
        </w:drawing>
      </w:r>
    </w:p>
    <w:p>
      <w:pPr>
        <w:rPr>
          <w:szCs w:val="21"/>
        </w:rPr>
      </w:pPr>
      <w:r>
        <w:rPr>
          <w:rFonts w:hint="eastAsia"/>
          <w:szCs w:val="21"/>
        </w:rPr>
        <w:t>数据来源：Wind，新世纪研究院</w:t>
      </w:r>
    </w:p>
    <w:p>
      <w:pPr>
        <w:jc w:val="center"/>
        <w:rPr>
          <w:szCs w:val="21"/>
        </w:rPr>
      </w:pPr>
      <w:r>
        <w:rPr>
          <w:rFonts w:hint="eastAsia"/>
          <w:szCs w:val="21"/>
        </w:rPr>
        <w:t>图</w:t>
      </w:r>
      <w:r>
        <w:rPr>
          <w:szCs w:val="21"/>
        </w:rPr>
        <w:t>6</w:t>
      </w:r>
      <w:r>
        <w:rPr>
          <w:rFonts w:hint="eastAsia"/>
          <w:szCs w:val="21"/>
        </w:rPr>
        <w:t>：铜铝比价</w:t>
      </w:r>
    </w:p>
    <w:p>
      <w:pPr>
        <w:ind w:firstLine="420" w:firstLineChars="200"/>
        <w:jc w:val="center"/>
        <w:rPr>
          <w:szCs w:val="21"/>
        </w:rPr>
      </w:pPr>
      <w:r>
        <w:rPr>
          <w:szCs w:val="21"/>
        </w:rPr>
        <w:drawing>
          <wp:inline distT="0" distB="0" distL="0" distR="0">
            <wp:extent cx="4019550" cy="236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4019550" cy="2362200"/>
                    </a:xfrm>
                    <a:prstGeom prst="rect">
                      <a:avLst/>
                    </a:prstGeom>
                    <a:noFill/>
                    <a:ln>
                      <a:noFill/>
                    </a:ln>
                  </pic:spPr>
                </pic:pic>
              </a:graphicData>
            </a:graphic>
          </wp:inline>
        </w:drawing>
      </w:r>
    </w:p>
    <w:p>
      <w:pPr>
        <w:rPr>
          <w:szCs w:val="21"/>
        </w:rPr>
      </w:pPr>
      <w:r>
        <w:rPr>
          <w:rFonts w:hint="eastAsia"/>
          <w:szCs w:val="21"/>
        </w:rPr>
        <w:t>数据来源：Wind，新世纪研究院</w:t>
      </w:r>
    </w:p>
    <w:p>
      <w:pPr>
        <w:ind w:firstLine="420" w:firstLineChars="200"/>
        <w:rPr>
          <w:szCs w:val="21"/>
        </w:rPr>
      </w:pPr>
      <w:r>
        <w:rPr>
          <w:rFonts w:hint="eastAsia"/>
          <w:szCs w:val="21"/>
        </w:rPr>
        <w:t>库存：</w:t>
      </w:r>
      <w:r>
        <w:rPr>
          <w:szCs w:val="21"/>
        </w:rPr>
        <w:t>本周两大交易所显性库存</w:t>
      </w:r>
      <w:r>
        <w:rPr>
          <w:rFonts w:hint="eastAsia"/>
          <w:szCs w:val="21"/>
        </w:rPr>
        <w:t>下降</w:t>
      </w:r>
      <w:r>
        <w:rPr>
          <w:szCs w:val="21"/>
        </w:rPr>
        <w:t>，最新库存量报197.65</w:t>
      </w:r>
      <w:r>
        <w:rPr>
          <w:rFonts w:hint="eastAsia"/>
          <w:szCs w:val="21"/>
        </w:rPr>
        <w:t>万</w:t>
      </w:r>
      <w:r>
        <w:rPr>
          <w:szCs w:val="21"/>
        </w:rPr>
        <w:t>吨，共</w:t>
      </w:r>
      <w:r>
        <w:rPr>
          <w:rFonts w:hint="eastAsia"/>
          <w:szCs w:val="21"/>
        </w:rPr>
        <w:t>减少</w:t>
      </w:r>
      <w:r>
        <w:rPr>
          <w:szCs w:val="21"/>
        </w:rPr>
        <w:t>库存2.68</w:t>
      </w:r>
      <w:r>
        <w:rPr>
          <w:rFonts w:hint="eastAsia"/>
          <w:szCs w:val="21"/>
        </w:rPr>
        <w:t>万</w:t>
      </w:r>
      <w:r>
        <w:rPr>
          <w:szCs w:val="21"/>
        </w:rPr>
        <w:t>吨，</w:t>
      </w:r>
      <w:r>
        <w:rPr>
          <w:rFonts w:hint="eastAsia"/>
          <w:szCs w:val="21"/>
        </w:rPr>
        <w:t>降</w:t>
      </w:r>
      <w:r>
        <w:rPr>
          <w:szCs w:val="21"/>
        </w:rPr>
        <w:t>幅约1.34%；</w:t>
      </w:r>
      <w:r>
        <w:rPr>
          <w:rFonts w:hint="eastAsia"/>
          <w:szCs w:val="21"/>
        </w:rPr>
        <w:t>LME库存减少</w:t>
      </w:r>
      <w:r>
        <w:rPr>
          <w:szCs w:val="21"/>
        </w:rPr>
        <w:t>2.68</w:t>
      </w:r>
      <w:r>
        <w:rPr>
          <w:rFonts w:hint="eastAsia"/>
          <w:szCs w:val="21"/>
        </w:rPr>
        <w:t>万吨至</w:t>
      </w:r>
      <w:r>
        <w:rPr>
          <w:szCs w:val="21"/>
        </w:rPr>
        <w:t>123.98</w:t>
      </w:r>
      <w:r>
        <w:rPr>
          <w:rFonts w:hint="eastAsia"/>
          <w:szCs w:val="21"/>
        </w:rPr>
        <w:t>万吨，降幅</w:t>
      </w:r>
      <w:r>
        <w:rPr>
          <w:szCs w:val="21"/>
        </w:rPr>
        <w:t>2.11</w:t>
      </w:r>
      <w:r>
        <w:rPr>
          <w:rFonts w:hint="eastAsia"/>
          <w:szCs w:val="21"/>
        </w:rPr>
        <w:t>%。</w:t>
      </w:r>
      <w:r>
        <w:rPr>
          <w:szCs w:val="21"/>
        </w:rPr>
        <w:t>上海期交所本周铝总存量为</w:t>
      </w:r>
      <w:r>
        <w:rPr>
          <w:rFonts w:hint="eastAsia"/>
          <w:szCs w:val="21"/>
        </w:rPr>
        <w:t>73.6</w:t>
      </w:r>
      <w:r>
        <w:rPr>
          <w:szCs w:val="21"/>
        </w:rPr>
        <w:t>7</w:t>
      </w:r>
      <w:r>
        <w:rPr>
          <w:rFonts w:hint="eastAsia"/>
          <w:szCs w:val="21"/>
        </w:rPr>
        <w:t>万</w:t>
      </w:r>
      <w:r>
        <w:rPr>
          <w:szCs w:val="21"/>
        </w:rPr>
        <w:t>吨，较上周增加</w:t>
      </w:r>
      <w:r>
        <w:rPr>
          <w:rFonts w:hint="eastAsia"/>
          <w:szCs w:val="21"/>
        </w:rPr>
        <w:t>较少5</w:t>
      </w:r>
      <w:r>
        <w:rPr>
          <w:szCs w:val="21"/>
        </w:rPr>
        <w:t>吨，</w:t>
      </w:r>
      <w:r>
        <w:rPr>
          <w:rFonts w:hint="eastAsia"/>
          <w:szCs w:val="21"/>
        </w:rPr>
        <w:t>降</w:t>
      </w:r>
      <w:r>
        <w:rPr>
          <w:szCs w:val="21"/>
        </w:rPr>
        <w:t>幅约0.001%。</w:t>
      </w:r>
      <w:r>
        <w:rPr>
          <w:rFonts w:hint="eastAsia"/>
          <w:szCs w:val="21"/>
        </w:rPr>
        <w:t>本周SMM统计国内电解铝社会库存（含SHFE仓单）合计167.2万吨，周比增加5.5万吨，春节前后5周库存合计增加40.8万吨。</w:t>
      </w:r>
    </w:p>
    <w:p>
      <w:pPr>
        <w:jc w:val="center"/>
        <w:rPr>
          <w:szCs w:val="21"/>
        </w:rPr>
      </w:pPr>
      <w:r>
        <w:rPr>
          <w:rFonts w:hint="eastAsia"/>
          <w:szCs w:val="21"/>
        </w:rPr>
        <w:t>图</w:t>
      </w:r>
      <w:r>
        <w:rPr>
          <w:szCs w:val="21"/>
        </w:rPr>
        <w:t>7</w:t>
      </w:r>
      <w:r>
        <w:rPr>
          <w:rFonts w:hint="eastAsia"/>
          <w:szCs w:val="21"/>
        </w:rPr>
        <w:t>：全球交易所库存</w:t>
      </w:r>
    </w:p>
    <w:p>
      <w:pPr>
        <w:jc w:val="center"/>
        <w:rPr>
          <w:szCs w:val="21"/>
        </w:rPr>
      </w:pPr>
      <w:r>
        <w:rPr>
          <w:szCs w:val="21"/>
        </w:rPr>
        <w:drawing>
          <wp:inline distT="0" distB="0" distL="0" distR="0">
            <wp:extent cx="3552825" cy="2066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3552825" cy="2066925"/>
                    </a:xfrm>
                    <a:prstGeom prst="rect">
                      <a:avLst/>
                    </a:prstGeom>
                    <a:noFill/>
                    <a:ln>
                      <a:noFill/>
                    </a:ln>
                  </pic:spPr>
                </pic:pic>
              </a:graphicData>
            </a:graphic>
          </wp:inline>
        </w:drawing>
      </w:r>
    </w:p>
    <w:p>
      <w:pPr>
        <w:rPr>
          <w:szCs w:val="21"/>
        </w:rPr>
      </w:pPr>
      <w:r>
        <w:rPr>
          <w:rFonts w:hint="eastAsia"/>
          <w:szCs w:val="21"/>
        </w:rPr>
        <w:t>数据来源：Wind，新世纪研究院</w:t>
      </w:r>
    </w:p>
    <w:p>
      <w:pPr>
        <w:rPr>
          <w:szCs w:val="21"/>
        </w:rPr>
      </w:pPr>
      <w:r>
        <w:rPr>
          <w:rFonts w:hint="eastAsia"/>
          <w:szCs w:val="21"/>
        </w:rPr>
        <w:t>观点：氧化铝和预预焙阳极价格均较为疲弱，炼厂亏损有所缓解。交易所显性铝库存下降，</w:t>
      </w:r>
      <w:r>
        <w:rPr>
          <w:szCs w:val="21"/>
        </w:rPr>
        <w:t>国内上期所库存几乎持平，</w:t>
      </w:r>
      <w:r>
        <w:rPr>
          <w:rFonts w:hint="eastAsia"/>
          <w:szCs w:val="21"/>
        </w:rPr>
        <w:t>社会铝锭库存仍在累库。综合看，当前国内需求淡季的供给收缩效果较弱，预计下周沪铝价格主要</w:t>
      </w:r>
      <w:r>
        <w:rPr>
          <w:szCs w:val="21"/>
        </w:rPr>
        <w:t>因近期信用扩张而</w:t>
      </w:r>
      <w:r>
        <w:rPr>
          <w:rFonts w:hint="eastAsia"/>
          <w:szCs w:val="21"/>
        </w:rPr>
        <w:t>跟随小幅</w:t>
      </w:r>
      <w:r>
        <w:rPr>
          <w:szCs w:val="21"/>
        </w:rPr>
        <w:t>上行</w:t>
      </w:r>
      <w:r>
        <w:rPr>
          <w:rFonts w:hint="eastAsia"/>
          <w:szCs w:val="21"/>
        </w:rPr>
        <w:t>，但大概率机会在于做空铜铝比价。</w:t>
      </w:r>
    </w:p>
    <w:p>
      <w:pPr>
        <w:widowControl/>
        <w:spacing w:line="300" w:lineRule="auto"/>
        <w:jc w:val="left"/>
        <w:rPr>
          <w:rFonts w:hint="eastAsia" w:eastAsia="宋体"/>
          <w:b/>
          <w:sz w:val="28"/>
          <w:szCs w:val="28"/>
          <w:lang w:val="en-US" w:eastAsia="zh-CN"/>
        </w:rPr>
      </w:pPr>
      <w:r>
        <w:rPr>
          <w:rFonts w:hint="eastAsia"/>
          <w:b/>
          <w:sz w:val="28"/>
          <w:szCs w:val="28"/>
          <w:lang w:val="en-US" w:eastAsia="zh-CN"/>
        </w:rPr>
        <w:t>农产品板块：</w:t>
      </w:r>
    </w:p>
    <w:p>
      <w:pPr>
        <w:widowControl/>
        <w:spacing w:line="300" w:lineRule="auto"/>
        <w:jc w:val="left"/>
        <w:rPr>
          <w:b/>
          <w:szCs w:val="21"/>
        </w:rPr>
      </w:pPr>
      <w:r>
        <w:rPr>
          <w:rFonts w:hint="eastAsia"/>
          <w:b/>
          <w:szCs w:val="21"/>
        </w:rPr>
        <w:t>油脂油料：</w:t>
      </w:r>
    </w:p>
    <w:p>
      <w:pPr>
        <w:widowControl/>
        <w:spacing w:line="360" w:lineRule="auto"/>
        <w:ind w:firstLine="422" w:firstLineChars="200"/>
        <w:jc w:val="left"/>
        <w:rPr>
          <w:szCs w:val="21"/>
        </w:rPr>
      </w:pPr>
      <w:r>
        <w:rPr>
          <w:rFonts w:hint="eastAsia"/>
          <w:b/>
          <w:szCs w:val="21"/>
        </w:rPr>
        <w:t>1、外盘大豆：</w:t>
      </w:r>
      <w:r>
        <w:rPr>
          <w:rFonts w:hint="eastAsia"/>
          <w:szCs w:val="21"/>
        </w:rPr>
        <w:t>美国和中国已经朝着结束持续七个月的贸易战取得最显著的进展，这也引发后期中国对美大豆进口增量预期。USDA预计，今年春季美国农户的大豆种植面积将为8,500万英亩，低于去年同期的8,920万英亩，分析师此前预计大豆播种面积将降至8,610万英亩。Agroconsu还将巴西大豆总产量预估小幅下调至1.164亿吨。阿根廷大豆作物生长状况大体上良好，大豆产量有望达到5,300万吨。</w:t>
      </w:r>
    </w:p>
    <w:p>
      <w:pPr>
        <w:widowControl/>
        <w:spacing w:line="360" w:lineRule="auto"/>
        <w:ind w:firstLine="420" w:firstLineChars="200"/>
        <w:jc w:val="left"/>
        <w:rPr>
          <w:szCs w:val="21"/>
        </w:rPr>
      </w:pPr>
      <w:r>
        <w:rPr>
          <w:rFonts w:hint="eastAsia"/>
          <w:szCs w:val="21"/>
        </w:rPr>
        <w:t>交易商预期马棕油2月产量将较1月下滑，但将高于上年同期，而出口转淡，抑制马盘棕油期价走势。西马南方棕油协会(SPPOMA)发布的数据显示，2月1日-20日马棕油产量比1月份同期降8.36%，而出口放缓，船运调查机构ITS、AmSpec Agri公布的数据显示,马来2月1-20日棕榈油出口量较上月增加0.03-1.8%。</w:t>
      </w:r>
    </w:p>
    <w:p>
      <w:pPr>
        <w:widowControl/>
        <w:spacing w:line="360" w:lineRule="auto"/>
        <w:ind w:firstLine="422" w:firstLineChars="200"/>
        <w:jc w:val="left"/>
        <w:rPr>
          <w:szCs w:val="21"/>
        </w:rPr>
      </w:pPr>
      <w:r>
        <w:rPr>
          <w:rFonts w:hint="eastAsia"/>
          <w:b/>
          <w:szCs w:val="21"/>
        </w:rPr>
        <w:t>2、供应：</w:t>
      </w:r>
      <w:r>
        <w:rPr>
          <w:rFonts w:hint="eastAsia"/>
          <w:szCs w:val="21"/>
        </w:rPr>
        <w:t>第一季度进口大豆到港同比降近20%，本季度末大豆原料或趋紧。据Cofeed调查统计，2019年2月份国内各港口进口大豆预报到港63船399.4万吨，3月份初步预估600万吨，4月份初步预估870万吨，5月份初步预估975万吨。</w:t>
      </w:r>
    </w:p>
    <w:p>
      <w:pPr>
        <w:widowControl/>
        <w:spacing w:line="360" w:lineRule="auto"/>
        <w:ind w:firstLine="420" w:firstLineChars="200"/>
        <w:jc w:val="left"/>
        <w:rPr>
          <w:szCs w:val="21"/>
        </w:rPr>
      </w:pPr>
      <w:r>
        <w:rPr>
          <w:rFonts w:hint="eastAsia"/>
          <w:szCs w:val="21"/>
        </w:rPr>
        <w:t>据Cofeed调查统计，2月16日-22日国内油厂开机率继续提高，全国各地油厂大豆压榨总量1566400吨（出粕1237456吨，出油297616吨），较上周511300吨增1055100吨，增幅206.3%，大豆压榨开机率（产能利用率）为44.19%，较上周14.42%增29.77百分点，下周大豆压榨量将在173万吨。</w:t>
      </w:r>
    </w:p>
    <w:p>
      <w:pPr>
        <w:ind w:firstLine="632" w:firstLineChars="300"/>
        <w:rPr>
          <w:b/>
          <w:szCs w:val="21"/>
        </w:rPr>
      </w:pPr>
      <w:r>
        <w:rPr>
          <w:rFonts w:hint="eastAsia"/>
          <w:b/>
          <w:szCs w:val="21"/>
        </w:rPr>
        <w:t>图1  全国大豆周度压榨图                     图2  国内沿海大豆结转库存周度趋势图</w:t>
      </w:r>
    </w:p>
    <w:p>
      <w:pPr>
        <w:widowControl/>
        <w:spacing w:line="300" w:lineRule="auto"/>
        <w:rPr>
          <w:szCs w:val="21"/>
        </w:rPr>
      </w:pPr>
      <w:r>
        <w:rPr>
          <w:szCs w:val="21"/>
        </w:rPr>
        <w:drawing>
          <wp:inline distT="0" distB="0" distL="0" distR="0">
            <wp:extent cx="3016250" cy="1791970"/>
            <wp:effectExtent l="19050" t="0" r="0"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noChangeArrowheads="1"/>
                    </pic:cNvPicPr>
                  </pic:nvPicPr>
                  <pic:blipFill>
                    <a:blip r:embed="rId153" cstate="print"/>
                    <a:srcRect/>
                    <a:stretch>
                      <a:fillRect/>
                    </a:stretch>
                  </pic:blipFill>
                  <pic:spPr>
                    <a:xfrm>
                      <a:off x="0" y="0"/>
                      <a:ext cx="3017019" cy="1792194"/>
                    </a:xfrm>
                    <a:prstGeom prst="rect">
                      <a:avLst/>
                    </a:prstGeom>
                    <a:noFill/>
                    <a:ln w="9525">
                      <a:noFill/>
                      <a:miter lim="800000"/>
                      <a:headEnd/>
                      <a:tailEnd/>
                    </a:ln>
                  </pic:spPr>
                </pic:pic>
              </a:graphicData>
            </a:graphic>
          </wp:inline>
        </w:drawing>
      </w:r>
      <w:r>
        <w:rPr>
          <w:szCs w:val="21"/>
        </w:rPr>
        <w:drawing>
          <wp:inline distT="0" distB="0" distL="0" distR="0">
            <wp:extent cx="3023870" cy="1906905"/>
            <wp:effectExtent l="19050" t="0" r="4877"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54" cstate="print"/>
                    <a:srcRect/>
                    <a:stretch>
                      <a:fillRect/>
                    </a:stretch>
                  </pic:blipFill>
                  <pic:spPr>
                    <a:xfrm>
                      <a:off x="0" y="0"/>
                      <a:ext cx="3026664" cy="1908992"/>
                    </a:xfrm>
                    <a:prstGeom prst="rect">
                      <a:avLst/>
                    </a:prstGeom>
                    <a:noFill/>
                    <a:ln w="9525">
                      <a:noFill/>
                      <a:miter lim="800000"/>
                      <a:headEnd/>
                      <a:tailEnd/>
                    </a:ln>
                  </pic:spPr>
                </pic:pic>
              </a:graphicData>
            </a:graphic>
          </wp:inline>
        </w:drawing>
      </w:r>
    </w:p>
    <w:p>
      <w:pPr>
        <w:ind w:firstLine="420" w:firstLineChars="200"/>
        <w:rPr>
          <w:szCs w:val="21"/>
        </w:rPr>
      </w:pPr>
      <w:r>
        <w:rPr>
          <w:rFonts w:hint="eastAsia"/>
          <w:szCs w:val="21"/>
        </w:rPr>
        <w:t>来源：Cofeed                                   来源：Cofeed</w:t>
      </w:r>
    </w:p>
    <w:p>
      <w:pPr>
        <w:spacing w:line="360" w:lineRule="auto"/>
        <w:ind w:firstLine="422" w:firstLineChars="200"/>
        <w:rPr>
          <w:szCs w:val="21"/>
        </w:rPr>
      </w:pPr>
      <w:r>
        <w:rPr>
          <w:rFonts w:hint="eastAsia"/>
          <w:b/>
          <w:szCs w:val="21"/>
        </w:rPr>
        <w:t>3、豆粕库存：</w:t>
      </w:r>
      <w:r>
        <w:rPr>
          <w:rFonts w:hint="eastAsia"/>
          <w:szCs w:val="21"/>
        </w:rPr>
        <w:t>节后豆粕市场仍有一小波补库，预计后期豆粕库存会重新回升。截止2月15日当周，国内沿海主要地区油厂豆粕总库存量56.56万吨，较去年同期71.71万吨减少21.12%。油厂开机率明显回升，预计豆粕库存降幅或将缩窄，3月份豆粕库存或重新开始回升。</w:t>
      </w:r>
    </w:p>
    <w:p>
      <w:pPr>
        <w:jc w:val="center"/>
        <w:rPr>
          <w:b/>
          <w:szCs w:val="21"/>
        </w:rPr>
      </w:pPr>
      <w:r>
        <w:rPr>
          <w:rFonts w:hint="eastAsia"/>
          <w:b/>
          <w:szCs w:val="21"/>
        </w:rPr>
        <w:t>图3  国内沿海豆粕结转库存</w:t>
      </w:r>
    </w:p>
    <w:p>
      <w:pPr>
        <w:jc w:val="center"/>
        <w:rPr>
          <w:szCs w:val="21"/>
        </w:rPr>
      </w:pPr>
      <w:r>
        <w:rPr>
          <w:szCs w:val="21"/>
        </w:rPr>
        <w:drawing>
          <wp:inline distT="0" distB="0" distL="0" distR="0">
            <wp:extent cx="3594100" cy="1939925"/>
            <wp:effectExtent l="19050" t="0" r="5792"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55" cstate="print"/>
                    <a:srcRect/>
                    <a:stretch>
                      <a:fillRect/>
                    </a:stretch>
                  </pic:blipFill>
                  <pic:spPr>
                    <a:xfrm>
                      <a:off x="0" y="0"/>
                      <a:ext cx="3595032" cy="1940536"/>
                    </a:xfrm>
                    <a:prstGeom prst="rect">
                      <a:avLst/>
                    </a:prstGeom>
                    <a:noFill/>
                    <a:ln w="9525">
                      <a:noFill/>
                      <a:miter lim="800000"/>
                      <a:headEnd/>
                      <a:tailEnd/>
                    </a:ln>
                  </pic:spPr>
                </pic:pic>
              </a:graphicData>
            </a:graphic>
          </wp:inline>
        </w:drawing>
      </w:r>
    </w:p>
    <w:p>
      <w:pPr>
        <w:ind w:firstLine="2625" w:firstLineChars="1250"/>
        <w:rPr>
          <w:szCs w:val="21"/>
        </w:rPr>
      </w:pPr>
      <w:r>
        <w:rPr>
          <w:rFonts w:hint="eastAsia"/>
          <w:szCs w:val="21"/>
        </w:rPr>
        <w:t>来源：Cofeed</w:t>
      </w:r>
    </w:p>
    <w:p>
      <w:pPr>
        <w:widowControl/>
        <w:spacing w:line="360" w:lineRule="auto"/>
        <w:ind w:firstLine="316" w:firstLineChars="150"/>
        <w:jc w:val="left"/>
        <w:rPr>
          <w:szCs w:val="21"/>
        </w:rPr>
      </w:pPr>
      <w:r>
        <w:rPr>
          <w:rFonts w:hint="eastAsia"/>
          <w:b/>
          <w:szCs w:val="21"/>
        </w:rPr>
        <w:t>4、豆粕需求：</w:t>
      </w:r>
      <w:r>
        <w:rPr>
          <w:rFonts w:hint="eastAsia"/>
          <w:szCs w:val="21"/>
        </w:rPr>
        <w:t>猪瘟蔓延令养殖需求疲软，拖累豆粕消费。本周广西北海市银海区，山东省济南市莱芜市、云南泸水市新发疫情。其中广西和山东是首例非洲猪瘟疫情，市场担忧疫情风险，出栏转为积极。据农业农村部最新数据显示，2019年1月生猪存栏比2018年12月减少5.7%，比去年同期减少12.62%。能繁母猪比2018年12月减少3.56%，比去年同期减少14.75%。</w:t>
      </w:r>
    </w:p>
    <w:p>
      <w:pPr>
        <w:ind w:firstLine="843" w:firstLineChars="400"/>
        <w:rPr>
          <w:b/>
          <w:szCs w:val="21"/>
        </w:rPr>
      </w:pPr>
      <w:r>
        <w:rPr>
          <w:rFonts w:hint="eastAsia"/>
          <w:b/>
          <w:szCs w:val="21"/>
        </w:rPr>
        <w:t>图4  生猪存栏与能繁衍母猪对比              图5  国内豆粕周均价及周度成交图</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3121660" cy="1696720"/>
            <wp:effectExtent l="19050" t="0" r="2036" b="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noChangeArrowheads="1"/>
                    </pic:cNvPicPr>
                  </pic:nvPicPr>
                  <pic:blipFill>
                    <a:blip r:embed="rId156" cstate="print"/>
                    <a:srcRect l="2361" t="4931" r="1328" b="3926"/>
                    <a:stretch>
                      <a:fillRect/>
                    </a:stretch>
                  </pic:blipFill>
                  <pic:spPr>
                    <a:xfrm>
                      <a:off x="0" y="0"/>
                      <a:ext cx="3123274" cy="1697729"/>
                    </a:xfrm>
                    <a:prstGeom prst="rect">
                      <a:avLst/>
                    </a:prstGeom>
                    <a:noFill/>
                    <a:ln w="9525">
                      <a:noFill/>
                      <a:miter lim="800000"/>
                      <a:headEnd/>
                      <a:tailEnd/>
                    </a:ln>
                  </pic:spPr>
                </pic:pic>
              </a:graphicData>
            </a:graphic>
          </wp:inline>
        </w:drawing>
      </w:r>
      <w:r>
        <w:rPr>
          <w:rFonts w:ascii="宋体" w:hAnsi="宋体" w:cs="宋体"/>
          <w:kern w:val="0"/>
          <w:sz w:val="24"/>
          <w:szCs w:val="24"/>
        </w:rPr>
        <w:t xml:space="preserve"> </w:t>
      </w:r>
      <w:r>
        <w:rPr>
          <w:rFonts w:ascii="宋体" w:hAnsi="宋体" w:cs="宋体"/>
          <w:kern w:val="0"/>
          <w:sz w:val="24"/>
          <w:szCs w:val="24"/>
        </w:rPr>
        <w:drawing>
          <wp:inline distT="0" distB="0" distL="0" distR="0">
            <wp:extent cx="2907030" cy="1710690"/>
            <wp:effectExtent l="1905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7" cstate="print"/>
                    <a:srcRect/>
                    <a:stretch>
                      <a:fillRect/>
                    </a:stretch>
                  </pic:blipFill>
                  <pic:spPr>
                    <a:xfrm>
                      <a:off x="0" y="0"/>
                      <a:ext cx="2910125" cy="1712653"/>
                    </a:xfrm>
                    <a:prstGeom prst="rect">
                      <a:avLst/>
                    </a:prstGeom>
                    <a:noFill/>
                    <a:ln w="9525">
                      <a:noFill/>
                      <a:miter lim="800000"/>
                      <a:headEnd/>
                      <a:tailEnd/>
                    </a:ln>
                  </pic:spPr>
                </pic:pic>
              </a:graphicData>
            </a:graphic>
          </wp:inline>
        </w:drawing>
      </w:r>
    </w:p>
    <w:p>
      <w:pPr>
        <w:ind w:firstLine="630" w:firstLineChars="300"/>
        <w:rPr>
          <w:szCs w:val="21"/>
        </w:rPr>
      </w:pPr>
      <w:r>
        <w:rPr>
          <w:rFonts w:hint="eastAsia"/>
          <w:szCs w:val="21"/>
        </w:rPr>
        <w:t>来源：wind                                    来源：Cofeed</w:t>
      </w:r>
    </w:p>
    <w:p>
      <w:pPr>
        <w:widowControl/>
        <w:spacing w:line="360" w:lineRule="auto"/>
        <w:ind w:firstLine="422" w:firstLineChars="200"/>
        <w:jc w:val="left"/>
        <w:rPr>
          <w:szCs w:val="21"/>
        </w:rPr>
      </w:pPr>
      <w:r>
        <w:rPr>
          <w:rFonts w:hint="eastAsia"/>
          <w:b/>
          <w:szCs w:val="21"/>
        </w:rPr>
        <w:t>5、油脂库存：</w:t>
      </w:r>
      <w:r>
        <w:rPr>
          <w:rFonts w:hint="eastAsia"/>
          <w:szCs w:val="21"/>
        </w:rPr>
        <w:t>油脂供给充裕。据Cofeed统计，截止2月22日，国内豆油商业库存总量130万吨，较上个月同期139万吨降9万吨，降幅为6.47%，较去年同期的141.585万吨降11.585万吨降幅8.18%，五年同期均值104.63万吨。 全国港口食用棕榈油库存总量77.15万，较上月同期的60.51万吨增16.64万吨，增幅27.5%，5年平均库存为68.54万吨。</w:t>
      </w:r>
    </w:p>
    <w:p>
      <w:pPr>
        <w:widowControl/>
        <w:spacing w:line="300" w:lineRule="auto"/>
        <w:ind w:firstLine="1160" w:firstLineChars="550"/>
        <w:rPr>
          <w:szCs w:val="21"/>
        </w:rPr>
      </w:pPr>
      <w:r>
        <w:rPr>
          <w:rFonts w:hint="eastAsia"/>
          <w:b/>
          <w:szCs w:val="21"/>
        </w:rPr>
        <w:t xml:space="preserve">图6  国内豆油商业库存 </w:t>
      </w:r>
      <w:r>
        <w:rPr>
          <w:rFonts w:hint="eastAsia"/>
          <w:szCs w:val="21"/>
        </w:rPr>
        <w:t xml:space="preserve">                 </w:t>
      </w:r>
      <w:r>
        <w:rPr>
          <w:rFonts w:hint="eastAsia"/>
          <w:b/>
          <w:szCs w:val="21"/>
        </w:rPr>
        <w:t>图7  国内棕榈油港口库存</w:t>
      </w:r>
    </w:p>
    <w:p>
      <w:pPr>
        <w:widowControl/>
        <w:spacing w:line="300" w:lineRule="auto"/>
        <w:jc w:val="left"/>
        <w:rPr>
          <w:szCs w:val="21"/>
        </w:rPr>
      </w:pPr>
      <w:r>
        <w:rPr>
          <w:szCs w:val="21"/>
        </w:rPr>
        <w:drawing>
          <wp:inline distT="0" distB="0" distL="0" distR="0">
            <wp:extent cx="3038475" cy="1894205"/>
            <wp:effectExtent l="19050" t="0" r="929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8" cstate="print"/>
                    <a:srcRect/>
                    <a:stretch>
                      <a:fillRect/>
                    </a:stretch>
                  </pic:blipFill>
                  <pic:spPr>
                    <a:xfrm>
                      <a:off x="0" y="0"/>
                      <a:ext cx="3033211" cy="1891213"/>
                    </a:xfrm>
                    <a:prstGeom prst="rect">
                      <a:avLst/>
                    </a:prstGeom>
                    <a:noFill/>
                    <a:ln w="9525">
                      <a:noFill/>
                      <a:miter lim="800000"/>
                      <a:headEnd/>
                      <a:tailEnd/>
                    </a:ln>
                  </pic:spPr>
                </pic:pic>
              </a:graphicData>
            </a:graphic>
          </wp:inline>
        </w:drawing>
      </w:r>
      <w:r>
        <w:rPr>
          <w:szCs w:val="21"/>
        </w:rPr>
        <w:drawing>
          <wp:inline distT="0" distB="0" distL="0" distR="0">
            <wp:extent cx="3051175" cy="189420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9" cstate="print"/>
                    <a:srcRect/>
                    <a:stretch>
                      <a:fillRect/>
                    </a:stretch>
                  </pic:blipFill>
                  <pic:spPr>
                    <a:xfrm>
                      <a:off x="0" y="0"/>
                      <a:ext cx="3053065" cy="1895459"/>
                    </a:xfrm>
                    <a:prstGeom prst="rect">
                      <a:avLst/>
                    </a:prstGeom>
                    <a:noFill/>
                    <a:ln w="9525">
                      <a:noFill/>
                      <a:miter lim="800000"/>
                      <a:headEnd/>
                      <a:tailEnd/>
                    </a:ln>
                  </pic:spPr>
                </pic:pic>
              </a:graphicData>
            </a:graphic>
          </wp:inline>
        </w:drawing>
      </w:r>
    </w:p>
    <w:p>
      <w:pPr>
        <w:ind w:firstLine="630" w:firstLineChars="300"/>
        <w:rPr>
          <w:szCs w:val="21"/>
        </w:rPr>
      </w:pPr>
      <w:r>
        <w:rPr>
          <w:rFonts w:hint="eastAsia"/>
          <w:szCs w:val="21"/>
        </w:rPr>
        <w:t>来源：Cofeed                              来源：Cofeed</w:t>
      </w:r>
    </w:p>
    <w:p>
      <w:pPr>
        <w:spacing w:line="360" w:lineRule="auto"/>
        <w:ind w:firstLine="422" w:firstLineChars="200"/>
        <w:rPr>
          <w:b/>
          <w:szCs w:val="21"/>
        </w:rPr>
      </w:pPr>
      <w:r>
        <w:rPr>
          <w:rFonts w:hint="eastAsia"/>
          <w:b/>
          <w:szCs w:val="21"/>
        </w:rPr>
        <w:t>6、油脂需求：</w:t>
      </w:r>
      <w:r>
        <w:rPr>
          <w:rFonts w:hint="eastAsia"/>
          <w:szCs w:val="21"/>
        </w:rPr>
        <w:t>油脂进入消费淡季。据Cofeed统计，本周全国主要工厂的豆油成交量为136370吨，日均成交量为27274吨；相比之下，上周豆油成交量为52730吨，日均成交量为10546吨。因节后北方气温仍较低，棕榈油消耗较慢，且节后油脂市场处于需求淡季，棕榈油出货迟滞。</w:t>
      </w:r>
    </w:p>
    <w:p>
      <w:pPr>
        <w:widowControl/>
        <w:spacing w:line="300" w:lineRule="auto"/>
        <w:ind w:firstLine="1160" w:firstLineChars="550"/>
        <w:rPr>
          <w:szCs w:val="21"/>
        </w:rPr>
      </w:pPr>
      <w:r>
        <w:rPr>
          <w:rFonts w:hint="eastAsia"/>
          <w:b/>
          <w:szCs w:val="21"/>
        </w:rPr>
        <w:t xml:space="preserve">图8  国内豆油周度成交 </w:t>
      </w:r>
      <w:r>
        <w:rPr>
          <w:rFonts w:hint="eastAsia"/>
          <w:szCs w:val="21"/>
        </w:rPr>
        <w:t xml:space="preserve">                  </w:t>
      </w:r>
      <w:r>
        <w:rPr>
          <w:rFonts w:hint="eastAsia"/>
          <w:b/>
          <w:szCs w:val="21"/>
        </w:rPr>
        <w:t xml:space="preserve">图9  国内棕榈油周度成交 </w:t>
      </w:r>
      <w:r>
        <w:rPr>
          <w:rFonts w:hint="eastAsia"/>
          <w:szCs w:val="21"/>
        </w:rPr>
        <w:t xml:space="preserve"> </w:t>
      </w:r>
    </w:p>
    <w:p>
      <w:pPr>
        <w:rPr>
          <w:szCs w:val="21"/>
        </w:rPr>
      </w:pPr>
      <w:r>
        <w:rPr>
          <w:szCs w:val="21"/>
        </w:rPr>
        <w:drawing>
          <wp:inline distT="0" distB="0" distL="0" distR="0">
            <wp:extent cx="3184525" cy="1856105"/>
            <wp:effectExtent l="1905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60" cstate="print"/>
                    <a:srcRect/>
                    <a:stretch>
                      <a:fillRect/>
                    </a:stretch>
                  </pic:blipFill>
                  <pic:spPr>
                    <a:xfrm>
                      <a:off x="0" y="0"/>
                      <a:ext cx="3188051" cy="1857897"/>
                    </a:xfrm>
                    <a:prstGeom prst="rect">
                      <a:avLst/>
                    </a:prstGeom>
                    <a:noFill/>
                    <a:ln w="9525">
                      <a:noFill/>
                      <a:miter lim="800000"/>
                      <a:headEnd/>
                      <a:tailEnd/>
                    </a:ln>
                  </pic:spPr>
                </pic:pic>
              </a:graphicData>
            </a:graphic>
          </wp:inline>
        </w:drawing>
      </w:r>
      <w:r>
        <w:rPr>
          <w:szCs w:val="21"/>
        </w:rPr>
        <w:drawing>
          <wp:inline distT="0" distB="0" distL="0" distR="0">
            <wp:extent cx="2840990" cy="1813560"/>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61" cstate="print"/>
                    <a:srcRect/>
                    <a:stretch>
                      <a:fillRect/>
                    </a:stretch>
                  </pic:blipFill>
                  <pic:spPr>
                    <a:xfrm>
                      <a:off x="0" y="0"/>
                      <a:ext cx="2852651" cy="1821485"/>
                    </a:xfrm>
                    <a:prstGeom prst="rect">
                      <a:avLst/>
                    </a:prstGeom>
                    <a:noFill/>
                    <a:ln w="9525">
                      <a:noFill/>
                      <a:miter lim="800000"/>
                      <a:headEnd/>
                      <a:tailEnd/>
                    </a:ln>
                  </pic:spPr>
                </pic:pic>
              </a:graphicData>
            </a:graphic>
          </wp:inline>
        </w:drawing>
      </w:r>
    </w:p>
    <w:p>
      <w:pPr>
        <w:ind w:firstLine="630" w:firstLineChars="300"/>
        <w:rPr>
          <w:szCs w:val="21"/>
        </w:rPr>
      </w:pPr>
      <w:r>
        <w:rPr>
          <w:rFonts w:hint="eastAsia"/>
          <w:szCs w:val="21"/>
        </w:rPr>
        <w:t>来源：Cofeed                              来源：Cofeed</w:t>
      </w:r>
    </w:p>
    <w:p>
      <w:pPr>
        <w:widowControl/>
        <w:spacing w:line="300" w:lineRule="auto"/>
        <w:ind w:firstLine="420" w:firstLineChars="200"/>
        <w:jc w:val="left"/>
        <w:rPr>
          <w:szCs w:val="21"/>
        </w:rPr>
      </w:pPr>
      <w:r>
        <w:rPr>
          <w:rFonts w:hint="eastAsia"/>
          <w:szCs w:val="21"/>
        </w:rPr>
        <w:t>7、</w:t>
      </w:r>
      <w:r>
        <w:rPr>
          <w:rFonts w:hint="eastAsia"/>
          <w:b/>
          <w:szCs w:val="21"/>
        </w:rPr>
        <w:t>交易建议：</w:t>
      </w:r>
      <w:r>
        <w:rPr>
          <w:rFonts w:hint="eastAsia"/>
          <w:szCs w:val="21"/>
        </w:rPr>
        <w:t>大豆震荡偏弱；豆粕震荡偏弱；油脂震荡偏弱。</w:t>
      </w:r>
    </w:p>
    <w:bookmarkEnd w:id="1"/>
    <w:p>
      <w:pPr>
        <w:spacing w:line="360" w:lineRule="auto"/>
        <w:rPr>
          <w:rFonts w:hint="eastAsia" w:asciiTheme="minorEastAsia" w:hAnsiTheme="minorEastAsia" w:eastAsiaTheme="minorEastAsia"/>
          <w:b/>
          <w:color w:val="000000"/>
          <w:sz w:val="24"/>
          <w:szCs w:val="24"/>
        </w:rPr>
      </w:pPr>
    </w:p>
    <w:p>
      <w:pPr>
        <w:spacing w:line="360" w:lineRule="auto"/>
        <w:rPr>
          <w:rFonts w:hint="eastAsia" w:asciiTheme="minorEastAsia" w:hAnsiTheme="minorEastAsia" w:eastAsiaTheme="minorEastAsia"/>
          <w:b/>
          <w:color w:val="000000"/>
          <w:sz w:val="24"/>
          <w:szCs w:val="24"/>
        </w:rPr>
      </w:pPr>
    </w:p>
    <w:p>
      <w:pPr>
        <w:spacing w:line="360" w:lineRule="auto"/>
        <w:rPr>
          <w:rFonts w:asciiTheme="minorEastAsia" w:hAnsiTheme="minorEastAsia" w:eastAsiaTheme="minorEastAsia"/>
          <w:b/>
          <w:color w:val="000000"/>
          <w:sz w:val="24"/>
          <w:szCs w:val="24"/>
        </w:rPr>
      </w:pPr>
      <w:bookmarkStart w:id="2" w:name="_GoBack"/>
      <w:bookmarkEnd w:id="2"/>
      <w:r>
        <w:rPr>
          <w:rFonts w:hint="eastAsia" w:asciiTheme="minorEastAsia" w:hAnsiTheme="minorEastAsia" w:eastAsiaTheme="minorEastAsia"/>
          <w:b/>
          <w:color w:val="000000"/>
          <w:sz w:val="24"/>
          <w:szCs w:val="24"/>
        </w:rPr>
        <w:t>免责声明：</w:t>
      </w:r>
    </w:p>
    <w:p>
      <w:pPr>
        <w:spacing w:line="360" w:lineRule="auto"/>
        <w:ind w:firstLine="420" w:firstLineChars="200"/>
        <w:rPr>
          <w:szCs w:val="21"/>
        </w:rPr>
      </w:pPr>
      <w:r>
        <w:rPr>
          <w:rFonts w:hint="eastAsia"/>
          <w:szCs w:val="21"/>
        </w:rPr>
        <w:t>本报告中的信息均来源于可信的公开资料或实地调研资料，但我公司对这些信息的准确性及完整性不作任何保证，也不保证本公司作出的任何建议不会发生任何变更。在任何情况下，报告中的信息或所表达的意见并不构成所述期货买卖的出价或询价。在任何情况下，我公司不就本报告中的任何内容对任何投资作出任何形式的担保。</w:t>
      </w:r>
    </w:p>
    <w:p>
      <w:pPr>
        <w:shd w:val="clear" w:color="auto" w:fill="F5F8FD"/>
        <w:spacing w:line="360" w:lineRule="atLeast"/>
        <w:rPr>
          <w:szCs w:val="21"/>
        </w:rPr>
      </w:pPr>
    </w:p>
    <w:sectPr>
      <w:headerReference r:id="rId3" w:type="default"/>
      <w:footerReference r:id="rId5" w:type="default"/>
      <w:headerReference r:id="rId4" w:type="even"/>
      <w:footerReference r:id="rId6" w:type="even"/>
      <w:pgSz w:w="11906" w:h="16838"/>
      <w:pgMar w:top="1701" w:right="1274" w:bottom="1701" w:left="9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auto"/>
    <w:pitch w:val="default"/>
    <w:sig w:usb0="800002BF" w:usb1="38CF7CFA" w:usb2="00000016" w:usb3="00000000" w:csb0="00040001" w:csb1="00000000"/>
  </w:font>
  <w:font w:name="Bookshelf Symbol 7">
    <w:panose1 w:val="05010101010101010101"/>
    <w:charset w:val="02"/>
    <w:family w:val="auto"/>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pple-system-font">
    <w:altName w:val="Almonte Snow"/>
    <w:panose1 w:val="00000000000000000000"/>
    <w:charset w:val="00"/>
    <w:family w:val="auto"/>
    <w:pitch w:val="default"/>
    <w:sig w:usb0="00000000" w:usb1="00000000" w:usb2="00000000" w:usb3="00000000" w:csb0="00000000" w:csb1="00000000"/>
  </w:font>
  <w:font w:name="Almonte Snow">
    <w:panose1 w:val="02000400000000000000"/>
    <w:charset w:val="00"/>
    <w:family w:val="auto"/>
    <w:pitch w:val="default"/>
    <w:sig w:usb0="80000003"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framePr w:wrap="around" w:vAnchor="text" w:hAnchor="page" w:x="10621" w:y="-182"/>
      <w:rPr>
        <w:rStyle w:val="90"/>
        <w:rFonts w:ascii="仿宋_GB2312" w:hAnsi="仿宋_GB2312" w:eastAsia="仿宋_GB2312"/>
        <w:color w:val="CC0000"/>
        <w:sz w:val="22"/>
      </w:rPr>
    </w:pPr>
    <w:r>
      <w:rPr>
        <w:rFonts w:hint="eastAsia" w:ascii="仿宋_GB2312" w:hAnsi="仿宋_GB2312" w:eastAsia="仿宋_GB2312"/>
        <w:b/>
        <w:color w:val="CC0000"/>
        <w:sz w:val="30"/>
      </w:rPr>
      <w:fldChar w:fldCharType="begin"/>
    </w:r>
    <w:r>
      <w:rPr>
        <w:rStyle w:val="90"/>
        <w:rFonts w:hint="eastAsia" w:ascii="仿宋_GB2312" w:hAnsi="仿宋_GB2312" w:eastAsia="仿宋_GB2312"/>
        <w:b/>
        <w:color w:val="CC0000"/>
        <w:sz w:val="30"/>
      </w:rPr>
      <w:instrText xml:space="preserve">PAGE  </w:instrText>
    </w:r>
    <w:r>
      <w:rPr>
        <w:rFonts w:hint="eastAsia" w:ascii="仿宋_GB2312" w:hAnsi="仿宋_GB2312" w:eastAsia="仿宋_GB2312"/>
        <w:b/>
        <w:color w:val="CC0000"/>
        <w:sz w:val="30"/>
      </w:rPr>
      <w:fldChar w:fldCharType="separate"/>
    </w:r>
    <w:r>
      <w:rPr>
        <w:rStyle w:val="90"/>
        <w:rFonts w:ascii="仿宋_GB2312" w:hAnsi="仿宋_GB2312" w:eastAsia="仿宋_GB2312"/>
        <w:b/>
        <w:color w:val="CC0000"/>
        <w:sz w:val="30"/>
      </w:rPr>
      <w:t>3</w:t>
    </w:r>
    <w:r>
      <w:rPr>
        <w:rFonts w:hint="eastAsia" w:ascii="仿宋_GB2312" w:hAnsi="仿宋_GB2312" w:eastAsia="仿宋_GB2312"/>
        <w:b/>
        <w:color w:val="CC0000"/>
        <w:sz w:val="30"/>
      </w:rPr>
      <w:fldChar w:fldCharType="end"/>
    </w:r>
  </w:p>
  <w:p>
    <w:pPr>
      <w:pStyle w:val="57"/>
      <w:rPr>
        <w:sz w:val="21"/>
      </w:rPr>
    </w:pPr>
    <w:r>
      <w:pict>
        <v:rect id="Rectangle 8" o:spid="_x0000_s2051" o:spt="1" style="position:absolute;left:0pt;margin-left:477.85pt;margin-top:755.85pt;height:23.4pt;width:27pt;mso-position-vertical-relative:page;z-index:251663360;mso-width-relative:page;mso-height-relative:page;" filled="f" stroked="t" coordsize="21600,21600" o:gfxdata="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z+Y99sAAAAOAQAA&#10;DwAAAAAAAAABACAAAAAiAAAAZHJzL2Rvd25yZXYueG1sUEsBAhQAFAAAAAgAh07iQGv0RrHdAQAA&#10;uAMAAA4AAAAAAAAAAQAgAAAAKgEAAGRycy9lMm9Eb2MueG1sUEsFBgAAAAAGAAYAWQEAAHkFAAAA&#10;AA==&#10;">
          <v:path/>
          <v:fill on="f" focussize="0,0"/>
          <v:stroke weight="2pt" color="#CC0000"/>
          <v:imagedata o:title=""/>
          <o:lock v:ext="edit"/>
        </v:rect>
      </w:pict>
    </w:r>
    <w:r>
      <w:rPr>
        <w:sz w:val="20"/>
        <w:u w:val="thick"/>
      </w:rPr>
      <w:pict>
        <v:rect id="Rectangle 7" o:spid="_x0000_s2050" o:spt="1" style="position:absolute;left:0pt;margin-left:162.7pt;margin-top:755.85pt;height:23.4pt;width:314.6pt;mso-position-vertical-relative:page;z-index:251662336;mso-width-relative:page;mso-height-relative:page;" fillcolor="#CC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">
          <v:path/>
          <v:fill on="t" focussize="0,0"/>
          <v:stroke weight="2pt" color="#CC0000"/>
          <v:imagedata o:title=""/>
          <o:lock v:ext="edit"/>
          <v:textbox>
            <w:txbxContent>
              <w:p>
                <w:pPr>
                  <w:ind w:firstLine="361" w:firstLineChars="150"/>
                  <w:jc w:val="center"/>
                  <w:rPr>
                    <w:rFonts w:ascii="宋体" w:hAnsi="宋体"/>
                    <w:b/>
                    <w:color w:val="FFFFFF"/>
                    <w:sz w:val="24"/>
                  </w:rPr>
                </w:pPr>
                <w:r>
                  <w:rPr>
                    <w:rFonts w:hint="eastAsia" w:ascii="宋体" w:hAnsi="宋体"/>
                    <w:b/>
                    <w:color w:val="FFFFFF"/>
                    <w:sz w:val="24"/>
                  </w:rPr>
                  <w:t>期市有风险 投资须谨慎</w:t>
                </w:r>
              </w:p>
            </w:txbxContent>
          </v:textbox>
        </v:rect>
      </w:pict>
    </w:r>
  </w:p>
  <w:p>
    <w:pPr>
      <w:pStyle w:val="57"/>
    </w:pPr>
    <w:r>
      <w:pict>
        <v:shape id="Text Box 6" o:spid="_x0000_s2049" o:spt="202" type="#_x0000_t202" style="position:absolute;left:0pt;margin-left:-19.2pt;margin-top:755.85pt;height:23.4pt;width:180pt;mso-position-vertical-relative:page;z-index:2516643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">
          <v:path/>
          <v:fill on="f" focussize="0,0"/>
          <v:stroke weight="2pt" color="#CC0000" joinstyle="miter"/>
          <v:imagedata o:title=""/>
          <o:lock v:ext="edit"/>
          <v:textbox>
            <w:txbxContent>
              <w:p>
                <w:pPr>
                  <w:jc w:val="center"/>
                  <w:rPr>
                    <w:rFonts w:ascii="宋体" w:hAnsi="宋体"/>
                    <w:b/>
                    <w:color w:val="CC0000"/>
                  </w:rPr>
                </w:pPr>
                <w:r>
                  <w:rPr>
                    <w:rFonts w:hint="eastAsia" w:ascii="宋体" w:hAnsi="宋体"/>
                    <w:b/>
                    <w:color w:val="CC0000"/>
                  </w:rPr>
                  <w:t>敬请参阅文后的免责声明</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b/>
        <w:i/>
        <w:sz w:val="21"/>
      </w:rPr>
    </w:pPr>
    <w:r>
      <w:rPr>
        <w:rFonts w:hint="eastAsia"/>
        <w:b/>
        <w:i/>
        <w:sz w:val="21"/>
      </w:rPr>
      <w:t xml:space="preserve">内部交流资料，仅供参考                                                       </w:t>
    </w:r>
    <w:r>
      <w:fldChar w:fldCharType="begin"/>
    </w:r>
    <w:r>
      <w:rPr>
        <w:rStyle w:val="90"/>
      </w:rPr>
      <w:instrText xml:space="preserve"> PAGE </w:instrText>
    </w:r>
    <w:r>
      <w:fldChar w:fldCharType="separate"/>
    </w:r>
    <w:r>
      <w:rPr>
        <w:rStyle w:val="90"/>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kern w:val="0"/>
        <w:sz w:val="24"/>
      </w:rPr>
    </w:pPr>
    <w:r>
      <w:pict>
        <v:roundrect id="AutoShape 5" o:spid="_x0000_s2055" o:spt="2" style="position:absolute;left:0pt;margin-left:336.5pt;margin-top:3.5pt;height:31.2pt;width:158.25pt;z-index:251658240;mso-width-relative:page;mso-height-relative:page;" filled="f"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">
          <v:path/>
          <v:fill on="f" focussize="0,0"/>
          <v:stroke on="f"/>
          <v:imagedata o:title=""/>
          <o:lock v:ext="edit"/>
          <v:textbox>
            <w:txbxContent>
              <w:p>
                <w:pPr>
                  <w:ind w:firstLine="1781" w:firstLineChars="739"/>
                  <w:rPr>
                    <w:rFonts w:ascii="黑体" w:eastAsia="黑体"/>
                    <w:b/>
                    <w:color w:val="000000"/>
                    <w:sz w:val="24"/>
                  </w:rPr>
                </w:pPr>
                <w:r>
                  <w:rPr>
                    <w:rFonts w:hint="eastAsia" w:ascii="黑体" w:eastAsia="黑体"/>
                    <w:b/>
                    <w:color w:val="000000"/>
                    <w:sz w:val="24"/>
                  </w:rPr>
                  <w:t>周报</w:t>
                </w:r>
              </w:p>
            </w:txbxContent>
          </v:textbox>
        </v:roundrect>
      </w:pict>
    </w:r>
    <w:r>
      <w:drawing>
        <wp:anchor distT="0" distB="0" distL="114300" distR="114300" simplePos="0" relativeHeight="251665408" behindDoc="0" locked="0" layoutInCell="1" allowOverlap="1">
          <wp:simplePos x="0" y="0"/>
          <wp:positionH relativeFrom="column">
            <wp:posOffset>-216535</wp:posOffset>
          </wp:positionH>
          <wp:positionV relativeFrom="paragraph">
            <wp:posOffset>143510</wp:posOffset>
          </wp:positionV>
          <wp:extent cx="2139315" cy="396875"/>
          <wp:effectExtent l="0" t="0" r="13335" b="3175"/>
          <wp:wrapNone/>
          <wp:docPr id="11" name="图片 9" descr="C:\Documents and Settings\Administrator\Application Data\Tencent\Users\546561691\QQ\WinTemp\RichOle\0)8_BB~N77${E0Z8}Y~7U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Documents and Settings\Administrator\Application Data\Tencent\Users\546561691\QQ\WinTemp\RichOle\0)8_BB~N77${E0Z8}Y~7UIU.png"/>
                  <pic:cNvPicPr>
                    <a:picLocks noChangeAspect="1"/>
                  </pic:cNvPicPr>
                </pic:nvPicPr>
                <pic:blipFill>
                  <a:blip r:embed="rId1" r:link="rId2"/>
                  <a:stretch>
                    <a:fillRect/>
                  </a:stretch>
                </pic:blipFill>
                <pic:spPr>
                  <a:xfrm>
                    <a:off x="0" y="0"/>
                    <a:ext cx="2139315" cy="396875"/>
                  </a:xfrm>
                  <a:prstGeom prst="rect">
                    <a:avLst/>
                  </a:prstGeom>
                  <a:noFill/>
                  <a:ln w="9525">
                    <a:noFill/>
                  </a:ln>
                </pic:spPr>
              </pic:pic>
            </a:graphicData>
          </a:graphic>
        </wp:anchor>
      </w:drawing>
    </w:r>
    <w:r>
      <w:pict>
        <v:line id="Line 3" o:spid="_x0000_s2054" o:spt="20" style="position:absolute;left:0pt;margin-left:351pt;margin-top:34.7pt;height:0.05pt;width:144pt;z-index:251659264;mso-width-relative:page;mso-height-relative:page;" stroked="t" coordsize="21600,21600" o:gfxdata="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JMbt9YAAAAJAQAADwAAAAAAAAABACAAAAAiAAAAZHJzL2Rvd25yZXYueG1sUEsBAhQA&#10;FAAAAAgAh07iQLw9R/27AQAAggMAAA4AAAAAAAAAAQAgAAAAJQEAAGRycy9lMm9Eb2MueG1sUEsF&#10;BgAAAAAGAAYAWQEAAFIFAAAAAA==&#10;">
          <v:path arrowok="t"/>
          <v:fill focussize="0,0"/>
          <v:stroke weight="1.5pt" color="#CC0000"/>
          <v:imagedata o:title=""/>
          <o:lock v:ext="edit"/>
        </v:line>
      </w:pict>
    </w:r>
    <w:r>
      <w:pict>
        <v:line id="Line 4" o:spid="_x0000_s2053" o:spt="20" style="position:absolute;left:0pt;margin-left:342pt;margin-top:26.9pt;height:0.05pt;width:144pt;z-index:251660288;mso-width-relative:page;mso-height-relative:page;" stroked="t" coordsize="21600,21600" o:gfxdata="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goWw2gAAAAkBAAAPAAAAAAAAAAEAIAAAACIAAABkcnMvZG93bnJldi54bWxQ&#10;SwECFAAUAAAACACHTuJAvVms1LwBAACCAwAADgAAAAAAAAABACAAAAApAQAAZHJzL2Uyb0RvYy54&#10;bWxQSwUGAAAAAAYABgBZAQAAVwUAAAAA&#10;">
          <v:path arrowok="t"/>
          <v:fill focussize="0,0"/>
          <v:stroke weight="1.25pt" color="#CC0000"/>
          <v:imagedata o:title=""/>
          <o:lock v:ext="edit"/>
        </v:line>
      </w:pict>
    </w:r>
    <w:r>
      <w:t xml:space="preserve"> </w:t>
    </w:r>
  </w:p>
  <w:p>
    <w:pPr>
      <w:pStyle w:val="60"/>
      <w:pBdr>
        <w:bottom w:val="none" w:color="auto" w:sz="0" w:space="0"/>
      </w:pBdr>
      <w:jc w:val="both"/>
    </w:pPr>
    <w:r>
      <w:pict>
        <v:line id="Line 1" o:spid="_x0000_s2052" o:spt="20" style="position:absolute;left:0pt;margin-left:-17.65pt;margin-top:85.05pt;height:0.9pt;width:521.55pt;mso-position-vertical-relative:page;z-index:251661312;mso-width-relative:page;mso-height-relative:page;" stroked="t" coordsize="21600,21600" o:gfxdata="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4gof3aAAAADAEAAA8AAAAAAAAAAQAgAAAAIgAAAGRycy9kb3ducmV2&#10;LnhtbFBLAQIUABQAAAAIAIdO4kA8LTRSwQEAAIQDAAAOAAAAAAAAAAEAIAAAACkBAABkcnMvZTJv&#10;RG9jLnhtbFBLBQYAAAAABgAGAFkBAABcBQAAAAA=&#10;">
          <v:path arrowok="t"/>
          <v:fill focussize="0,0"/>
          <v:stroke weight="2pt" color="#CC0000"/>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rPr>
        <w:rFonts w:hint="eastAsia"/>
        <w:i/>
        <w:sz w:val="21"/>
      </w:rPr>
      <w:t xml:space="preserve">新世纪期货市场研发部       </w:t>
    </w:r>
    <w:r>
      <w:rPr>
        <w:rFonts w:hint="eastAsia"/>
      </w:rPr>
      <w:t xml:space="preserve">                                    </w:t>
    </w:r>
    <w:r>
      <w:rPr>
        <w:rFonts w:ascii="Times New Roman" w:hAnsi="Times New Roman"/>
        <w:i/>
        <w:sz w:val="21"/>
      </w:rPr>
      <w:t>http</w:t>
    </w:r>
    <w:r>
      <w:rPr>
        <w:rFonts w:ascii="Times New Roman"/>
        <w:i/>
        <w:sz w:val="21"/>
      </w:rPr>
      <w:t>：</w:t>
    </w:r>
    <w:r>
      <w:rPr>
        <w:rFonts w:ascii="Times New Roman" w:hAnsi="Times New Roman"/>
        <w:i/>
        <w:sz w:val="21"/>
      </w:rPr>
      <w:t>// www.zjncf.com.cn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BD9"/>
    <w:rsid w:val="00030283"/>
    <w:rsid w:val="00040C81"/>
    <w:rsid w:val="00066F89"/>
    <w:rsid w:val="00096182"/>
    <w:rsid w:val="000978AE"/>
    <w:rsid w:val="000A039F"/>
    <w:rsid w:val="000A3C57"/>
    <w:rsid w:val="000A67A2"/>
    <w:rsid w:val="000B2C95"/>
    <w:rsid w:val="000B37A6"/>
    <w:rsid w:val="000B3E95"/>
    <w:rsid w:val="000C5349"/>
    <w:rsid w:val="000D31A7"/>
    <w:rsid w:val="000E6ED9"/>
    <w:rsid w:val="00101CD6"/>
    <w:rsid w:val="00103FB7"/>
    <w:rsid w:val="001312A5"/>
    <w:rsid w:val="001360C9"/>
    <w:rsid w:val="0014412B"/>
    <w:rsid w:val="001665C0"/>
    <w:rsid w:val="00172A27"/>
    <w:rsid w:val="00176435"/>
    <w:rsid w:val="0018365A"/>
    <w:rsid w:val="00190E34"/>
    <w:rsid w:val="00195DD3"/>
    <w:rsid w:val="001D3741"/>
    <w:rsid w:val="001F5844"/>
    <w:rsid w:val="002062F0"/>
    <w:rsid w:val="00211C96"/>
    <w:rsid w:val="00215874"/>
    <w:rsid w:val="0022248E"/>
    <w:rsid w:val="0023755D"/>
    <w:rsid w:val="002500FC"/>
    <w:rsid w:val="002504B5"/>
    <w:rsid w:val="00252979"/>
    <w:rsid w:val="00253507"/>
    <w:rsid w:val="002579F8"/>
    <w:rsid w:val="00264FE8"/>
    <w:rsid w:val="002711FA"/>
    <w:rsid w:val="002773A6"/>
    <w:rsid w:val="0028737B"/>
    <w:rsid w:val="002D6893"/>
    <w:rsid w:val="002E6DAF"/>
    <w:rsid w:val="00300932"/>
    <w:rsid w:val="0030662C"/>
    <w:rsid w:val="003241F2"/>
    <w:rsid w:val="00330E22"/>
    <w:rsid w:val="003339EF"/>
    <w:rsid w:val="00352732"/>
    <w:rsid w:val="00391679"/>
    <w:rsid w:val="003B67A1"/>
    <w:rsid w:val="003E1AC5"/>
    <w:rsid w:val="003E36D9"/>
    <w:rsid w:val="003F1177"/>
    <w:rsid w:val="003F2C21"/>
    <w:rsid w:val="003F4202"/>
    <w:rsid w:val="0042424B"/>
    <w:rsid w:val="004263E2"/>
    <w:rsid w:val="004325C4"/>
    <w:rsid w:val="00442B09"/>
    <w:rsid w:val="00447856"/>
    <w:rsid w:val="004530D0"/>
    <w:rsid w:val="00464998"/>
    <w:rsid w:val="004B1F9A"/>
    <w:rsid w:val="004D3A45"/>
    <w:rsid w:val="004E3461"/>
    <w:rsid w:val="004E7966"/>
    <w:rsid w:val="004F3186"/>
    <w:rsid w:val="00501905"/>
    <w:rsid w:val="00510516"/>
    <w:rsid w:val="00511D4D"/>
    <w:rsid w:val="00550976"/>
    <w:rsid w:val="005803C4"/>
    <w:rsid w:val="005B0111"/>
    <w:rsid w:val="005B107C"/>
    <w:rsid w:val="005F571E"/>
    <w:rsid w:val="00613327"/>
    <w:rsid w:val="00614375"/>
    <w:rsid w:val="0062556E"/>
    <w:rsid w:val="00643155"/>
    <w:rsid w:val="00646300"/>
    <w:rsid w:val="0066631C"/>
    <w:rsid w:val="00680EFF"/>
    <w:rsid w:val="0069581D"/>
    <w:rsid w:val="006E23D1"/>
    <w:rsid w:val="00713FC9"/>
    <w:rsid w:val="007246AA"/>
    <w:rsid w:val="00727CB1"/>
    <w:rsid w:val="00731528"/>
    <w:rsid w:val="00736AFF"/>
    <w:rsid w:val="00761226"/>
    <w:rsid w:val="007774C7"/>
    <w:rsid w:val="007810E2"/>
    <w:rsid w:val="007C3395"/>
    <w:rsid w:val="007F48A7"/>
    <w:rsid w:val="00805979"/>
    <w:rsid w:val="008154AC"/>
    <w:rsid w:val="00825C34"/>
    <w:rsid w:val="00831655"/>
    <w:rsid w:val="00842A12"/>
    <w:rsid w:val="008628B9"/>
    <w:rsid w:val="00867F8B"/>
    <w:rsid w:val="00891AD7"/>
    <w:rsid w:val="00895833"/>
    <w:rsid w:val="008E6FA8"/>
    <w:rsid w:val="008F3DDC"/>
    <w:rsid w:val="00911C8D"/>
    <w:rsid w:val="0096050F"/>
    <w:rsid w:val="0096241A"/>
    <w:rsid w:val="00981603"/>
    <w:rsid w:val="0099596D"/>
    <w:rsid w:val="009A0849"/>
    <w:rsid w:val="009B50C7"/>
    <w:rsid w:val="009D18C0"/>
    <w:rsid w:val="009E12CF"/>
    <w:rsid w:val="009E7DD1"/>
    <w:rsid w:val="009F437B"/>
    <w:rsid w:val="00A070BC"/>
    <w:rsid w:val="00A11844"/>
    <w:rsid w:val="00A31135"/>
    <w:rsid w:val="00A7649E"/>
    <w:rsid w:val="00A84C24"/>
    <w:rsid w:val="00A95A10"/>
    <w:rsid w:val="00AA6DE2"/>
    <w:rsid w:val="00AD2986"/>
    <w:rsid w:val="00AE765D"/>
    <w:rsid w:val="00AF3B8A"/>
    <w:rsid w:val="00AF562D"/>
    <w:rsid w:val="00B3477D"/>
    <w:rsid w:val="00B44B14"/>
    <w:rsid w:val="00B661F7"/>
    <w:rsid w:val="00B67B06"/>
    <w:rsid w:val="00B8305A"/>
    <w:rsid w:val="00BB68CF"/>
    <w:rsid w:val="00BF04D9"/>
    <w:rsid w:val="00C038F4"/>
    <w:rsid w:val="00C048D8"/>
    <w:rsid w:val="00C223D9"/>
    <w:rsid w:val="00C37A39"/>
    <w:rsid w:val="00C40F99"/>
    <w:rsid w:val="00C43A2C"/>
    <w:rsid w:val="00C65156"/>
    <w:rsid w:val="00C94AC2"/>
    <w:rsid w:val="00CB7587"/>
    <w:rsid w:val="00CC301B"/>
    <w:rsid w:val="00CC30BE"/>
    <w:rsid w:val="00CC6CA3"/>
    <w:rsid w:val="00CF3F64"/>
    <w:rsid w:val="00D238AA"/>
    <w:rsid w:val="00D35B6D"/>
    <w:rsid w:val="00D5551A"/>
    <w:rsid w:val="00D55C56"/>
    <w:rsid w:val="00D61BEC"/>
    <w:rsid w:val="00D70581"/>
    <w:rsid w:val="00D90021"/>
    <w:rsid w:val="00D90F89"/>
    <w:rsid w:val="00DB1EE0"/>
    <w:rsid w:val="00DC182C"/>
    <w:rsid w:val="00DC4374"/>
    <w:rsid w:val="00DD1939"/>
    <w:rsid w:val="00DE2046"/>
    <w:rsid w:val="00DE3947"/>
    <w:rsid w:val="00E02E3A"/>
    <w:rsid w:val="00E11BE7"/>
    <w:rsid w:val="00E2251A"/>
    <w:rsid w:val="00E254E0"/>
    <w:rsid w:val="00E33EB3"/>
    <w:rsid w:val="00E3509B"/>
    <w:rsid w:val="00E65815"/>
    <w:rsid w:val="00E7685A"/>
    <w:rsid w:val="00E95438"/>
    <w:rsid w:val="00EA133D"/>
    <w:rsid w:val="00ED0C42"/>
    <w:rsid w:val="00EE5722"/>
    <w:rsid w:val="00F11475"/>
    <w:rsid w:val="00F13217"/>
    <w:rsid w:val="00F23698"/>
    <w:rsid w:val="00F63D83"/>
    <w:rsid w:val="00F857F1"/>
    <w:rsid w:val="00F96E00"/>
    <w:rsid w:val="00FA1D60"/>
    <w:rsid w:val="00FB14C9"/>
    <w:rsid w:val="00FC60C0"/>
    <w:rsid w:val="00FD779F"/>
    <w:rsid w:val="00FF2CE0"/>
    <w:rsid w:val="00FF536D"/>
    <w:rsid w:val="00FF66CA"/>
    <w:rsid w:val="025528FC"/>
    <w:rsid w:val="04045903"/>
    <w:rsid w:val="06D921BA"/>
    <w:rsid w:val="06F25FB9"/>
    <w:rsid w:val="085B3DB3"/>
    <w:rsid w:val="09756AB1"/>
    <w:rsid w:val="0BE66D2B"/>
    <w:rsid w:val="0BF45F23"/>
    <w:rsid w:val="108E57BE"/>
    <w:rsid w:val="11C90650"/>
    <w:rsid w:val="149D56C6"/>
    <w:rsid w:val="14B26B47"/>
    <w:rsid w:val="162C7658"/>
    <w:rsid w:val="18B35C28"/>
    <w:rsid w:val="1A125C5A"/>
    <w:rsid w:val="1ABA053C"/>
    <w:rsid w:val="1AFB769E"/>
    <w:rsid w:val="1B04694D"/>
    <w:rsid w:val="1B1E13A4"/>
    <w:rsid w:val="1DC41672"/>
    <w:rsid w:val="22385B99"/>
    <w:rsid w:val="22586DF5"/>
    <w:rsid w:val="2261210F"/>
    <w:rsid w:val="23615951"/>
    <w:rsid w:val="253C4A71"/>
    <w:rsid w:val="29B14C0C"/>
    <w:rsid w:val="2A3675C6"/>
    <w:rsid w:val="2B8742F0"/>
    <w:rsid w:val="2C80451A"/>
    <w:rsid w:val="2D1F46E2"/>
    <w:rsid w:val="2E446514"/>
    <w:rsid w:val="2F2723FF"/>
    <w:rsid w:val="30001C0A"/>
    <w:rsid w:val="303D2CC1"/>
    <w:rsid w:val="303E4E2D"/>
    <w:rsid w:val="31410039"/>
    <w:rsid w:val="31ED56A0"/>
    <w:rsid w:val="325F3F6B"/>
    <w:rsid w:val="33B54410"/>
    <w:rsid w:val="36116125"/>
    <w:rsid w:val="366E2EA8"/>
    <w:rsid w:val="38B17CCE"/>
    <w:rsid w:val="39A433D9"/>
    <w:rsid w:val="3A5F04B4"/>
    <w:rsid w:val="3AC554B1"/>
    <w:rsid w:val="3C1D5373"/>
    <w:rsid w:val="3C303E13"/>
    <w:rsid w:val="3C3E105D"/>
    <w:rsid w:val="4211083B"/>
    <w:rsid w:val="437D1054"/>
    <w:rsid w:val="43D674C5"/>
    <w:rsid w:val="446F49BC"/>
    <w:rsid w:val="44AC1B6F"/>
    <w:rsid w:val="45A766FD"/>
    <w:rsid w:val="476548E5"/>
    <w:rsid w:val="48EB6B00"/>
    <w:rsid w:val="49D86A3A"/>
    <w:rsid w:val="49E4763C"/>
    <w:rsid w:val="4B4B2D41"/>
    <w:rsid w:val="4BA00297"/>
    <w:rsid w:val="4BAC5959"/>
    <w:rsid w:val="4BF21A75"/>
    <w:rsid w:val="4CFF45C2"/>
    <w:rsid w:val="4E8C7034"/>
    <w:rsid w:val="4F7F215C"/>
    <w:rsid w:val="51CB517E"/>
    <w:rsid w:val="52C00858"/>
    <w:rsid w:val="553560A7"/>
    <w:rsid w:val="55AD1DCD"/>
    <w:rsid w:val="565D0E04"/>
    <w:rsid w:val="56BA7016"/>
    <w:rsid w:val="57A92AD0"/>
    <w:rsid w:val="57F4093D"/>
    <w:rsid w:val="59136284"/>
    <w:rsid w:val="5C27633D"/>
    <w:rsid w:val="5D397033"/>
    <w:rsid w:val="6013499C"/>
    <w:rsid w:val="613F3073"/>
    <w:rsid w:val="64213BDD"/>
    <w:rsid w:val="65046CF4"/>
    <w:rsid w:val="66DB2370"/>
    <w:rsid w:val="6B417959"/>
    <w:rsid w:val="6D3A47BC"/>
    <w:rsid w:val="6DAA0BFC"/>
    <w:rsid w:val="6EC2223F"/>
    <w:rsid w:val="6F085543"/>
    <w:rsid w:val="6FD12E23"/>
    <w:rsid w:val="702920CE"/>
    <w:rsid w:val="71443CD6"/>
    <w:rsid w:val="75072A87"/>
    <w:rsid w:val="77BB7D8E"/>
    <w:rsid w:val="791D2D75"/>
    <w:rsid w:val="794A3A1D"/>
    <w:rsid w:val="7A893449"/>
    <w:rsid w:val="7BA3346A"/>
    <w:rsid w:val="7C0B1097"/>
    <w:rsid w:val="7D1C6005"/>
    <w:rsid w:val="7DD93B62"/>
    <w:rsid w:val="7E993326"/>
    <w:rsid w:val="7EFA085D"/>
    <w:rsid w:val="7F1422D8"/>
    <w:rsid w:val="7F1D52F2"/>
    <w:rsid w:val="7F2B7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sz w:val="28"/>
    </w:rPr>
  </w:style>
  <w:style w:type="paragraph" w:styleId="4">
    <w:name w:val="heading 3"/>
    <w:basedOn w:val="1"/>
    <w:next w:val="1"/>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before="280" w:after="290" w:line="372" w:lineRule="auto"/>
      <w:outlineLvl w:val="4"/>
    </w:pPr>
    <w:rPr>
      <w:b/>
      <w:sz w:val="28"/>
    </w:rPr>
  </w:style>
  <w:style w:type="paragraph" w:styleId="7">
    <w:name w:val="heading 6"/>
    <w:basedOn w:val="1"/>
    <w:next w:val="1"/>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qFormat/>
    <w:uiPriority w:val="0"/>
    <w:pPr>
      <w:keepNext/>
      <w:keepLines/>
      <w:spacing w:before="240" w:after="64" w:line="317" w:lineRule="auto"/>
      <w:outlineLvl w:val="6"/>
    </w:pPr>
    <w:rPr>
      <w:b/>
      <w:sz w:val="24"/>
    </w:rPr>
  </w:style>
  <w:style w:type="paragraph" w:styleId="9">
    <w:name w:val="heading 8"/>
    <w:basedOn w:val="1"/>
    <w:next w:val="1"/>
    <w:qFormat/>
    <w:uiPriority w:val="0"/>
    <w:pPr>
      <w:keepNext/>
      <w:keepLines/>
      <w:spacing w:before="240" w:after="64" w:line="317"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17" w:lineRule="auto"/>
      <w:outlineLvl w:val="8"/>
    </w:pPr>
    <w:rPr>
      <w:rFonts w:ascii="Arial" w:hAnsi="Arial" w:eastAsia="黑体"/>
    </w:rPr>
  </w:style>
  <w:style w:type="character" w:default="1" w:styleId="88">
    <w:name w:val="Default Paragraph Font"/>
    <w:unhideWhenUsed/>
    <w:uiPriority w:val="1"/>
  </w:style>
  <w:style w:type="table" w:default="1" w:styleId="93">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annotation subject"/>
    <w:basedOn w:val="13"/>
    <w:next w:val="13"/>
    <w:qFormat/>
    <w:uiPriority w:val="0"/>
    <w:rPr>
      <w:b/>
    </w:rPr>
  </w:style>
  <w:style w:type="paragraph" w:styleId="13">
    <w:name w:val="annotation text"/>
    <w:basedOn w:val="1"/>
    <w:qFormat/>
    <w:uiPriority w:val="0"/>
    <w:pPr>
      <w:jc w:val="left"/>
    </w:pPr>
  </w:style>
  <w:style w:type="paragraph" w:styleId="14">
    <w:name w:val="toc 7"/>
    <w:basedOn w:val="1"/>
    <w:next w:val="1"/>
    <w:qFormat/>
    <w:uiPriority w:val="0"/>
    <w:pPr>
      <w:ind w:left="2520" w:leftChars="1200"/>
    </w:pPr>
  </w:style>
  <w:style w:type="paragraph" w:styleId="15">
    <w:name w:val="Body Text First Indent"/>
    <w:basedOn w:val="16"/>
    <w:qFormat/>
    <w:uiPriority w:val="0"/>
    <w:pPr>
      <w:ind w:firstLine="420" w:firstLineChars="100"/>
    </w:pPr>
  </w:style>
  <w:style w:type="paragraph" w:styleId="16">
    <w:name w:val="Body Text"/>
    <w:basedOn w:val="1"/>
    <w:qFormat/>
    <w:uiPriority w:val="0"/>
    <w:pPr>
      <w:spacing w:after="120"/>
    </w:pPr>
  </w:style>
  <w:style w:type="paragraph" w:styleId="17">
    <w:name w:val="List Number 2"/>
    <w:basedOn w:val="1"/>
    <w:qFormat/>
    <w:uiPriority w:val="0"/>
    <w:pPr>
      <w:tabs>
        <w:tab w:val="left" w:pos="780"/>
      </w:tabs>
      <w:ind w:left="780" w:hanging="360"/>
    </w:pPr>
  </w:style>
  <w:style w:type="paragraph" w:styleId="18">
    <w:name w:val="table of authorities"/>
    <w:basedOn w:val="1"/>
    <w:next w:val="1"/>
    <w:qFormat/>
    <w:uiPriority w:val="0"/>
    <w:pPr>
      <w:ind w:left="420" w:leftChars="200"/>
    </w:pPr>
  </w:style>
  <w:style w:type="paragraph" w:styleId="19">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20">
    <w:name w:val="Note Heading"/>
    <w:basedOn w:val="1"/>
    <w:next w:val="1"/>
    <w:qFormat/>
    <w:uiPriority w:val="0"/>
    <w:pPr>
      <w:jc w:val="center"/>
    </w:pPr>
  </w:style>
  <w:style w:type="paragraph" w:styleId="21">
    <w:name w:val="List Bullet 4"/>
    <w:basedOn w:val="1"/>
    <w:qFormat/>
    <w:uiPriority w:val="0"/>
    <w:pPr>
      <w:tabs>
        <w:tab w:val="left" w:pos="1620"/>
      </w:tabs>
      <w:ind w:left="1620" w:hanging="360"/>
    </w:pPr>
  </w:style>
  <w:style w:type="paragraph" w:styleId="22">
    <w:name w:val="index 8"/>
    <w:basedOn w:val="1"/>
    <w:next w:val="1"/>
    <w:qFormat/>
    <w:uiPriority w:val="0"/>
    <w:pPr>
      <w:ind w:left="1400" w:leftChars="1400"/>
    </w:pPr>
  </w:style>
  <w:style w:type="paragraph" w:styleId="23">
    <w:name w:val="E-mail Signature"/>
    <w:basedOn w:val="1"/>
    <w:qFormat/>
    <w:uiPriority w:val="0"/>
  </w:style>
  <w:style w:type="paragraph" w:styleId="24">
    <w:name w:val="List Number"/>
    <w:basedOn w:val="1"/>
    <w:qFormat/>
    <w:uiPriority w:val="0"/>
    <w:pPr>
      <w:tabs>
        <w:tab w:val="left" w:pos="360"/>
      </w:tabs>
      <w:ind w:left="360" w:hanging="360"/>
    </w:pPr>
  </w:style>
  <w:style w:type="paragraph" w:styleId="25">
    <w:name w:val="Normal Indent"/>
    <w:basedOn w:val="1"/>
    <w:qFormat/>
    <w:uiPriority w:val="0"/>
    <w:pPr>
      <w:ind w:firstLine="420" w:firstLineChars="200"/>
    </w:pPr>
  </w:style>
  <w:style w:type="paragraph" w:styleId="26">
    <w:name w:val="caption"/>
    <w:basedOn w:val="1"/>
    <w:next w:val="1"/>
    <w:qFormat/>
    <w:uiPriority w:val="0"/>
    <w:rPr>
      <w:rFonts w:ascii="Arial" w:hAnsi="Arial" w:eastAsia="黑体"/>
      <w:sz w:val="20"/>
    </w:rPr>
  </w:style>
  <w:style w:type="paragraph" w:styleId="27">
    <w:name w:val="index 5"/>
    <w:basedOn w:val="1"/>
    <w:next w:val="1"/>
    <w:qFormat/>
    <w:uiPriority w:val="0"/>
    <w:pPr>
      <w:ind w:left="800" w:leftChars="800"/>
    </w:pPr>
  </w:style>
  <w:style w:type="paragraph" w:styleId="28">
    <w:name w:val="List Bullet"/>
    <w:basedOn w:val="1"/>
    <w:qFormat/>
    <w:uiPriority w:val="0"/>
    <w:pPr>
      <w:tabs>
        <w:tab w:val="left" w:pos="360"/>
      </w:tabs>
      <w:ind w:left="360" w:hanging="360"/>
    </w:pPr>
  </w:style>
  <w:style w:type="paragraph" w:styleId="29">
    <w:name w:val="envelope address"/>
    <w:basedOn w:val="1"/>
    <w:qFormat/>
    <w:uiPriority w:val="0"/>
    <w:pPr>
      <w:snapToGrid w:val="0"/>
      <w:ind w:left="100" w:leftChars="1400"/>
    </w:pPr>
    <w:rPr>
      <w:rFonts w:ascii="Arial" w:hAnsi="Arial"/>
      <w:sz w:val="24"/>
    </w:rPr>
  </w:style>
  <w:style w:type="paragraph" w:styleId="30">
    <w:name w:val="Document Map"/>
    <w:basedOn w:val="1"/>
    <w:qFormat/>
    <w:uiPriority w:val="0"/>
    <w:pPr>
      <w:shd w:val="clear" w:color="auto" w:fill="000080"/>
    </w:pPr>
  </w:style>
  <w:style w:type="paragraph" w:styleId="31">
    <w:name w:val="toa heading"/>
    <w:basedOn w:val="1"/>
    <w:next w:val="1"/>
    <w:qFormat/>
    <w:uiPriority w:val="0"/>
    <w:pPr>
      <w:spacing w:before="120"/>
    </w:pPr>
    <w:rPr>
      <w:rFonts w:ascii="Arial" w:hAnsi="Arial"/>
      <w:sz w:val="24"/>
    </w:rPr>
  </w:style>
  <w:style w:type="paragraph" w:styleId="32">
    <w:name w:val="index 6"/>
    <w:basedOn w:val="1"/>
    <w:next w:val="1"/>
    <w:qFormat/>
    <w:uiPriority w:val="0"/>
    <w:pPr>
      <w:ind w:left="1000" w:leftChars="1000"/>
    </w:pPr>
  </w:style>
  <w:style w:type="paragraph" w:styleId="33">
    <w:name w:val="Salutation"/>
    <w:basedOn w:val="1"/>
    <w:next w:val="1"/>
    <w:qFormat/>
    <w:uiPriority w:val="0"/>
  </w:style>
  <w:style w:type="paragraph" w:styleId="34">
    <w:name w:val="Body Text 3"/>
    <w:basedOn w:val="1"/>
    <w:qFormat/>
    <w:uiPriority w:val="0"/>
    <w:pPr>
      <w:spacing w:after="120"/>
    </w:pPr>
    <w:rPr>
      <w:sz w:val="16"/>
    </w:rPr>
  </w:style>
  <w:style w:type="paragraph" w:styleId="35">
    <w:name w:val="Closing"/>
    <w:basedOn w:val="1"/>
    <w:qFormat/>
    <w:uiPriority w:val="0"/>
    <w:pPr>
      <w:ind w:left="100" w:leftChars="2100"/>
    </w:pPr>
  </w:style>
  <w:style w:type="paragraph" w:styleId="36">
    <w:name w:val="List Bullet 3"/>
    <w:basedOn w:val="1"/>
    <w:qFormat/>
    <w:uiPriority w:val="0"/>
    <w:pPr>
      <w:tabs>
        <w:tab w:val="left" w:pos="1200"/>
      </w:tabs>
      <w:ind w:left="1200" w:hanging="360"/>
    </w:pPr>
  </w:style>
  <w:style w:type="paragraph" w:styleId="37">
    <w:name w:val="Body Text Indent"/>
    <w:basedOn w:val="1"/>
    <w:qFormat/>
    <w:uiPriority w:val="0"/>
    <w:pPr>
      <w:spacing w:after="120"/>
      <w:ind w:left="420" w:leftChars="200"/>
    </w:pPr>
  </w:style>
  <w:style w:type="paragraph" w:styleId="38">
    <w:name w:val="List Number 3"/>
    <w:basedOn w:val="1"/>
    <w:qFormat/>
    <w:uiPriority w:val="0"/>
    <w:pPr>
      <w:tabs>
        <w:tab w:val="left" w:pos="1200"/>
      </w:tabs>
      <w:ind w:left="1200" w:hanging="360"/>
    </w:pPr>
  </w:style>
  <w:style w:type="paragraph" w:styleId="39">
    <w:name w:val="List 2"/>
    <w:basedOn w:val="1"/>
    <w:qFormat/>
    <w:uiPriority w:val="0"/>
    <w:pPr>
      <w:ind w:left="100" w:leftChars="200" w:hanging="200" w:hangingChars="200"/>
    </w:pPr>
  </w:style>
  <w:style w:type="paragraph" w:styleId="40">
    <w:name w:val="List Continue"/>
    <w:basedOn w:val="1"/>
    <w:qFormat/>
    <w:uiPriority w:val="0"/>
    <w:pPr>
      <w:spacing w:after="120"/>
      <w:ind w:left="420" w:leftChars="200"/>
    </w:pPr>
  </w:style>
  <w:style w:type="paragraph" w:styleId="41">
    <w:name w:val="Block Text"/>
    <w:basedOn w:val="1"/>
    <w:qFormat/>
    <w:uiPriority w:val="0"/>
    <w:pPr>
      <w:spacing w:after="120"/>
      <w:ind w:left="1440" w:leftChars="700" w:right="700" w:rightChars="700"/>
    </w:pPr>
  </w:style>
  <w:style w:type="paragraph" w:styleId="42">
    <w:name w:val="List Bullet 2"/>
    <w:basedOn w:val="1"/>
    <w:qFormat/>
    <w:uiPriority w:val="0"/>
    <w:pPr>
      <w:tabs>
        <w:tab w:val="left" w:pos="780"/>
      </w:tabs>
      <w:ind w:left="780" w:hanging="360"/>
    </w:pPr>
  </w:style>
  <w:style w:type="paragraph" w:styleId="43">
    <w:name w:val="HTML Address"/>
    <w:basedOn w:val="1"/>
    <w:qFormat/>
    <w:uiPriority w:val="0"/>
    <w:rPr>
      <w:i/>
    </w:rPr>
  </w:style>
  <w:style w:type="paragraph" w:styleId="44">
    <w:name w:val="index 4"/>
    <w:basedOn w:val="1"/>
    <w:next w:val="1"/>
    <w:qFormat/>
    <w:uiPriority w:val="0"/>
    <w:pPr>
      <w:ind w:left="600" w:leftChars="600"/>
    </w:pPr>
  </w:style>
  <w:style w:type="paragraph" w:styleId="45">
    <w:name w:val="toc 5"/>
    <w:basedOn w:val="1"/>
    <w:next w:val="1"/>
    <w:qFormat/>
    <w:uiPriority w:val="0"/>
    <w:pPr>
      <w:ind w:left="1680" w:leftChars="800"/>
    </w:pPr>
  </w:style>
  <w:style w:type="paragraph" w:styleId="46">
    <w:name w:val="toc 3"/>
    <w:basedOn w:val="1"/>
    <w:next w:val="1"/>
    <w:qFormat/>
    <w:uiPriority w:val="0"/>
    <w:pPr>
      <w:ind w:left="840" w:leftChars="400"/>
    </w:pPr>
  </w:style>
  <w:style w:type="paragraph" w:styleId="47">
    <w:name w:val="Plain Text"/>
    <w:basedOn w:val="1"/>
    <w:qFormat/>
    <w:uiPriority w:val="0"/>
    <w:rPr>
      <w:rFonts w:ascii="宋体" w:hAnsi="Courier New"/>
    </w:rPr>
  </w:style>
  <w:style w:type="paragraph" w:styleId="48">
    <w:name w:val="List Bullet 5"/>
    <w:basedOn w:val="1"/>
    <w:qFormat/>
    <w:uiPriority w:val="0"/>
    <w:pPr>
      <w:tabs>
        <w:tab w:val="left" w:pos="2040"/>
      </w:tabs>
      <w:ind w:left="2040" w:hanging="360"/>
    </w:pPr>
  </w:style>
  <w:style w:type="paragraph" w:styleId="49">
    <w:name w:val="List Number 4"/>
    <w:basedOn w:val="1"/>
    <w:qFormat/>
    <w:uiPriority w:val="0"/>
    <w:pPr>
      <w:tabs>
        <w:tab w:val="left" w:pos="1620"/>
      </w:tabs>
      <w:ind w:left="1620" w:hanging="360"/>
    </w:pPr>
  </w:style>
  <w:style w:type="paragraph" w:styleId="50">
    <w:name w:val="toc 8"/>
    <w:basedOn w:val="1"/>
    <w:next w:val="1"/>
    <w:qFormat/>
    <w:uiPriority w:val="0"/>
    <w:pPr>
      <w:ind w:left="2940" w:leftChars="1400"/>
    </w:pPr>
  </w:style>
  <w:style w:type="paragraph" w:styleId="51">
    <w:name w:val="index 3"/>
    <w:basedOn w:val="1"/>
    <w:next w:val="1"/>
    <w:qFormat/>
    <w:uiPriority w:val="0"/>
    <w:pPr>
      <w:ind w:left="400" w:leftChars="400"/>
    </w:pPr>
  </w:style>
  <w:style w:type="paragraph" w:styleId="52">
    <w:name w:val="Date"/>
    <w:basedOn w:val="1"/>
    <w:next w:val="1"/>
    <w:qFormat/>
    <w:uiPriority w:val="0"/>
    <w:pPr>
      <w:ind w:left="100" w:leftChars="2500"/>
    </w:pPr>
  </w:style>
  <w:style w:type="paragraph" w:styleId="53">
    <w:name w:val="Body Text Indent 2"/>
    <w:basedOn w:val="1"/>
    <w:qFormat/>
    <w:uiPriority w:val="0"/>
    <w:pPr>
      <w:spacing w:after="120" w:line="480" w:lineRule="auto"/>
      <w:ind w:left="420" w:leftChars="200"/>
    </w:pPr>
  </w:style>
  <w:style w:type="paragraph" w:styleId="54">
    <w:name w:val="endnote text"/>
    <w:basedOn w:val="1"/>
    <w:qFormat/>
    <w:uiPriority w:val="0"/>
    <w:pPr>
      <w:snapToGrid w:val="0"/>
      <w:jc w:val="left"/>
    </w:pPr>
  </w:style>
  <w:style w:type="paragraph" w:styleId="55">
    <w:name w:val="List Continue 5"/>
    <w:basedOn w:val="1"/>
    <w:qFormat/>
    <w:uiPriority w:val="0"/>
    <w:pPr>
      <w:spacing w:after="120"/>
      <w:ind w:left="2100" w:leftChars="1000"/>
    </w:pPr>
  </w:style>
  <w:style w:type="paragraph" w:styleId="56">
    <w:name w:val="Balloon Text"/>
    <w:basedOn w:val="1"/>
    <w:qFormat/>
    <w:uiPriority w:val="0"/>
    <w:rPr>
      <w:sz w:val="18"/>
    </w:rPr>
  </w:style>
  <w:style w:type="paragraph" w:styleId="57">
    <w:name w:val="footer"/>
    <w:basedOn w:val="1"/>
    <w:qFormat/>
    <w:uiPriority w:val="0"/>
    <w:pPr>
      <w:tabs>
        <w:tab w:val="center" w:pos="4153"/>
        <w:tab w:val="right" w:pos="8306"/>
      </w:tabs>
      <w:snapToGrid w:val="0"/>
      <w:jc w:val="left"/>
    </w:pPr>
    <w:rPr>
      <w:sz w:val="18"/>
    </w:rPr>
  </w:style>
  <w:style w:type="paragraph" w:styleId="58">
    <w:name w:val="envelope return"/>
    <w:basedOn w:val="1"/>
    <w:qFormat/>
    <w:uiPriority w:val="0"/>
    <w:pPr>
      <w:snapToGrid w:val="0"/>
    </w:pPr>
    <w:rPr>
      <w:rFonts w:ascii="Arial" w:hAnsi="Arial"/>
    </w:rPr>
  </w:style>
  <w:style w:type="paragraph" w:styleId="59">
    <w:name w:val="Body Text First Indent 2"/>
    <w:basedOn w:val="37"/>
    <w:qFormat/>
    <w:uiPriority w:val="0"/>
    <w:pPr>
      <w:ind w:firstLine="420" w:firstLineChars="200"/>
    </w:pPr>
  </w:style>
  <w:style w:type="paragraph" w:styleId="60">
    <w:name w:val="header"/>
    <w:basedOn w:val="1"/>
    <w:link w:val="115"/>
    <w:qFormat/>
    <w:uiPriority w:val="0"/>
    <w:pPr>
      <w:pBdr>
        <w:bottom w:val="single" w:color="auto" w:sz="6" w:space="1"/>
      </w:pBdr>
      <w:tabs>
        <w:tab w:val="center" w:pos="4153"/>
        <w:tab w:val="right" w:pos="8306"/>
      </w:tabs>
      <w:snapToGrid w:val="0"/>
      <w:jc w:val="center"/>
    </w:pPr>
    <w:rPr>
      <w:rFonts w:ascii="Calibri" w:hAnsi="Calibri"/>
      <w:sz w:val="18"/>
    </w:rPr>
  </w:style>
  <w:style w:type="paragraph" w:styleId="61">
    <w:name w:val="Signature"/>
    <w:basedOn w:val="1"/>
    <w:qFormat/>
    <w:uiPriority w:val="0"/>
    <w:pPr>
      <w:ind w:left="100" w:leftChars="2100"/>
    </w:pPr>
  </w:style>
  <w:style w:type="paragraph" w:styleId="62">
    <w:name w:val="toc 1"/>
    <w:basedOn w:val="1"/>
    <w:next w:val="1"/>
    <w:qFormat/>
    <w:uiPriority w:val="0"/>
  </w:style>
  <w:style w:type="paragraph" w:styleId="63">
    <w:name w:val="List Continue 4"/>
    <w:basedOn w:val="1"/>
    <w:qFormat/>
    <w:uiPriority w:val="0"/>
    <w:pPr>
      <w:spacing w:after="120"/>
      <w:ind w:left="1680" w:leftChars="800"/>
    </w:pPr>
  </w:style>
  <w:style w:type="paragraph" w:styleId="64">
    <w:name w:val="toc 4"/>
    <w:basedOn w:val="1"/>
    <w:next w:val="1"/>
    <w:qFormat/>
    <w:uiPriority w:val="0"/>
    <w:pPr>
      <w:ind w:left="1260" w:leftChars="600"/>
    </w:pPr>
  </w:style>
  <w:style w:type="paragraph" w:styleId="65">
    <w:name w:val="index heading"/>
    <w:basedOn w:val="1"/>
    <w:next w:val="66"/>
    <w:qFormat/>
    <w:uiPriority w:val="0"/>
    <w:rPr>
      <w:rFonts w:ascii="Arial" w:hAnsi="Arial"/>
      <w:b/>
    </w:rPr>
  </w:style>
  <w:style w:type="paragraph" w:styleId="66">
    <w:name w:val="index 1"/>
    <w:basedOn w:val="1"/>
    <w:next w:val="1"/>
    <w:qFormat/>
    <w:uiPriority w:val="0"/>
  </w:style>
  <w:style w:type="paragraph" w:styleId="67">
    <w:name w:val="Subtitle"/>
    <w:basedOn w:val="1"/>
    <w:qFormat/>
    <w:uiPriority w:val="0"/>
    <w:pPr>
      <w:spacing w:before="240" w:after="60" w:line="312" w:lineRule="auto"/>
      <w:jc w:val="center"/>
      <w:outlineLvl w:val="1"/>
    </w:pPr>
    <w:rPr>
      <w:rFonts w:ascii="Arial" w:hAnsi="Arial"/>
      <w:b/>
      <w:kern w:val="28"/>
      <w:sz w:val="32"/>
    </w:rPr>
  </w:style>
  <w:style w:type="paragraph" w:styleId="68">
    <w:name w:val="List Number 5"/>
    <w:basedOn w:val="1"/>
    <w:qFormat/>
    <w:uiPriority w:val="0"/>
    <w:pPr>
      <w:tabs>
        <w:tab w:val="left" w:pos="2040"/>
      </w:tabs>
      <w:ind w:left="2040" w:hanging="360"/>
    </w:pPr>
  </w:style>
  <w:style w:type="paragraph" w:styleId="69">
    <w:name w:val="List"/>
    <w:basedOn w:val="1"/>
    <w:qFormat/>
    <w:uiPriority w:val="0"/>
    <w:pPr>
      <w:ind w:left="200" w:hanging="200" w:hangingChars="200"/>
    </w:pPr>
  </w:style>
  <w:style w:type="paragraph" w:styleId="70">
    <w:name w:val="footnote text"/>
    <w:basedOn w:val="1"/>
    <w:qFormat/>
    <w:uiPriority w:val="0"/>
    <w:pPr>
      <w:snapToGrid w:val="0"/>
      <w:jc w:val="left"/>
    </w:pPr>
    <w:rPr>
      <w:sz w:val="18"/>
    </w:rPr>
  </w:style>
  <w:style w:type="paragraph" w:styleId="71">
    <w:name w:val="toc 6"/>
    <w:basedOn w:val="1"/>
    <w:next w:val="1"/>
    <w:qFormat/>
    <w:uiPriority w:val="0"/>
    <w:pPr>
      <w:ind w:left="2100" w:leftChars="1000"/>
    </w:pPr>
  </w:style>
  <w:style w:type="paragraph" w:styleId="72">
    <w:name w:val="List 5"/>
    <w:basedOn w:val="1"/>
    <w:qFormat/>
    <w:uiPriority w:val="0"/>
    <w:pPr>
      <w:ind w:left="100" w:leftChars="800" w:hanging="200" w:hangingChars="200"/>
    </w:pPr>
  </w:style>
  <w:style w:type="paragraph" w:styleId="73">
    <w:name w:val="Body Text Indent 3"/>
    <w:basedOn w:val="1"/>
    <w:qFormat/>
    <w:uiPriority w:val="0"/>
    <w:pPr>
      <w:spacing w:line="300" w:lineRule="auto"/>
      <w:ind w:firstLine="480" w:firstLineChars="200"/>
    </w:pPr>
    <w:rPr>
      <w:sz w:val="24"/>
    </w:rPr>
  </w:style>
  <w:style w:type="paragraph" w:styleId="74">
    <w:name w:val="index 7"/>
    <w:basedOn w:val="1"/>
    <w:next w:val="1"/>
    <w:qFormat/>
    <w:uiPriority w:val="0"/>
    <w:pPr>
      <w:ind w:left="1200" w:leftChars="1200"/>
    </w:pPr>
  </w:style>
  <w:style w:type="paragraph" w:styleId="75">
    <w:name w:val="index 9"/>
    <w:basedOn w:val="1"/>
    <w:next w:val="1"/>
    <w:qFormat/>
    <w:uiPriority w:val="0"/>
    <w:pPr>
      <w:ind w:left="1600" w:leftChars="1600"/>
    </w:pPr>
  </w:style>
  <w:style w:type="paragraph" w:styleId="76">
    <w:name w:val="table of figures"/>
    <w:basedOn w:val="1"/>
    <w:next w:val="1"/>
    <w:qFormat/>
    <w:uiPriority w:val="0"/>
    <w:pPr>
      <w:ind w:left="200" w:leftChars="200" w:hanging="200" w:hangingChars="200"/>
    </w:pPr>
  </w:style>
  <w:style w:type="paragraph" w:styleId="77">
    <w:name w:val="toc 2"/>
    <w:basedOn w:val="1"/>
    <w:next w:val="1"/>
    <w:qFormat/>
    <w:uiPriority w:val="0"/>
    <w:pPr>
      <w:ind w:left="420" w:leftChars="200"/>
    </w:pPr>
  </w:style>
  <w:style w:type="paragraph" w:styleId="78">
    <w:name w:val="toc 9"/>
    <w:basedOn w:val="1"/>
    <w:next w:val="1"/>
    <w:qFormat/>
    <w:uiPriority w:val="0"/>
    <w:pPr>
      <w:ind w:left="3360" w:leftChars="1600"/>
    </w:pPr>
  </w:style>
  <w:style w:type="paragraph" w:styleId="79">
    <w:name w:val="Body Text 2"/>
    <w:basedOn w:val="1"/>
    <w:qFormat/>
    <w:uiPriority w:val="0"/>
    <w:pPr>
      <w:spacing w:after="120" w:line="480" w:lineRule="auto"/>
    </w:p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spacing w:after="120"/>
      <w:ind w:left="840" w:leftChars="400"/>
    </w:pPr>
  </w:style>
  <w:style w:type="paragraph" w:styleId="8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3">
    <w:name w:val="HTML Preformatted"/>
    <w:basedOn w:val="1"/>
    <w:link w:val="110"/>
    <w:qFormat/>
    <w:uiPriority w:val="0"/>
    <w:rPr>
      <w:rFonts w:ascii="Courier New" w:hAnsi="Courier New"/>
    </w:rPr>
  </w:style>
  <w:style w:type="paragraph" w:styleId="84">
    <w:name w:val="Normal (Web)"/>
    <w:basedOn w:val="1"/>
    <w:qFormat/>
    <w:uiPriority w:val="99"/>
    <w:pPr>
      <w:spacing w:before="100" w:beforeAutospacing="1" w:after="100" w:afterAutospacing="1"/>
      <w:jc w:val="left"/>
    </w:pPr>
    <w:rPr>
      <w:kern w:val="0"/>
      <w:sz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ind w:left="200" w:leftChars="200"/>
    </w:pPr>
  </w:style>
  <w:style w:type="paragraph" w:styleId="87">
    <w:name w:val="Title"/>
    <w:basedOn w:val="1"/>
    <w:qFormat/>
    <w:uiPriority w:val="0"/>
    <w:pPr>
      <w:spacing w:before="240" w:after="60"/>
      <w:jc w:val="center"/>
      <w:outlineLvl w:val="0"/>
    </w:pPr>
    <w:rPr>
      <w:rFonts w:ascii="Arial" w:hAnsi="Arial"/>
      <w:b/>
      <w:sz w:val="32"/>
    </w:rPr>
  </w:style>
  <w:style w:type="character" w:styleId="89">
    <w:name w:val="Strong"/>
    <w:qFormat/>
    <w:uiPriority w:val="0"/>
    <w:rPr>
      <w:b/>
    </w:rPr>
  </w:style>
  <w:style w:type="character" w:styleId="90">
    <w:name w:val="page number"/>
    <w:basedOn w:val="88"/>
    <w:qFormat/>
    <w:uiPriority w:val="0"/>
  </w:style>
  <w:style w:type="character" w:styleId="91">
    <w:name w:val="Emphasis"/>
    <w:qFormat/>
    <w:uiPriority w:val="0"/>
    <w:rPr>
      <w:color w:val="CC0000"/>
    </w:rPr>
  </w:style>
  <w:style w:type="character" w:styleId="92">
    <w:name w:val="Hyperlink"/>
    <w:qFormat/>
    <w:uiPriority w:val="0"/>
    <w:rPr>
      <w:color w:val="000000"/>
      <w:u w:val="none"/>
    </w:rPr>
  </w:style>
  <w:style w:type="paragraph" w:customStyle="1" w:styleId="94">
    <w:name w:val="z-窗体顶端1"/>
    <w:basedOn w:val="1"/>
    <w:next w:val="1"/>
    <w:qFormat/>
    <w:uiPriority w:val="0"/>
    <w:pPr>
      <w:widowControl/>
      <w:pBdr>
        <w:bottom w:val="single" w:color="auto" w:sz="6" w:space="1"/>
      </w:pBdr>
      <w:jc w:val="center"/>
    </w:pPr>
    <w:rPr>
      <w:rFonts w:ascii="Arial" w:hAnsi="Arial"/>
      <w:vanish/>
      <w:kern w:val="0"/>
      <w:sz w:val="16"/>
    </w:rPr>
  </w:style>
  <w:style w:type="paragraph" w:customStyle="1" w:styleId="95">
    <w:name w:val="Char"/>
    <w:basedOn w:val="1"/>
    <w:qFormat/>
    <w:uiPriority w:val="0"/>
    <w:pPr>
      <w:tabs>
        <w:tab w:val="left" w:pos="360"/>
      </w:tabs>
    </w:pPr>
    <w:rPr>
      <w:rFonts w:ascii="Courier New" w:hAnsi="Courier New"/>
    </w:rPr>
  </w:style>
  <w:style w:type="paragraph" w:customStyle="1" w:styleId="96">
    <w:name w:val="列出段落11"/>
    <w:basedOn w:val="1"/>
    <w:qFormat/>
    <w:uiPriority w:val="0"/>
    <w:pPr>
      <w:ind w:firstLine="420" w:firstLineChars="200"/>
    </w:pPr>
    <w:rPr>
      <w:rFonts w:ascii="Calibri" w:hAnsi="Calibri"/>
    </w:rPr>
  </w:style>
  <w:style w:type="paragraph" w:customStyle="1" w:styleId="97">
    <w:name w:val="Default"/>
    <w:qFormat/>
    <w:uiPriority w:val="0"/>
    <w:pPr>
      <w:widowControl w:val="0"/>
      <w:autoSpaceDE w:val="0"/>
      <w:autoSpaceDN w:val="0"/>
      <w:adjustRightInd w:val="0"/>
    </w:pPr>
    <w:rPr>
      <w:rFonts w:ascii="仿宋_GB2312" w:hAnsi="Times New Roman" w:eastAsia="仿宋_GB2312" w:cs="Times New Roman"/>
      <w:color w:val="000000"/>
      <w:sz w:val="24"/>
      <w:lang w:val="en-US" w:eastAsia="zh-CN" w:bidi="ar-SA"/>
    </w:rPr>
  </w:style>
  <w:style w:type="paragraph" w:customStyle="1" w:styleId="98">
    <w:name w:val="页眉1"/>
    <w:basedOn w:val="1"/>
    <w:qFormat/>
    <w:uiPriority w:val="0"/>
    <w:pPr>
      <w:pBdr>
        <w:bottom w:val="single" w:color="auto" w:sz="6" w:space="1"/>
      </w:pBdr>
      <w:tabs>
        <w:tab w:val="center" w:pos="4153"/>
        <w:tab w:val="right" w:pos="8306"/>
      </w:tabs>
      <w:snapToGrid w:val="0"/>
      <w:jc w:val="center"/>
    </w:pPr>
    <w:rPr>
      <w:rFonts w:ascii="Calibri" w:hAnsi="Calibri"/>
      <w:sz w:val="18"/>
    </w:rPr>
  </w:style>
  <w:style w:type="paragraph" w:customStyle="1" w:styleId="99">
    <w:name w:val="无间隔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
    <w:name w:val="页脚1"/>
    <w:basedOn w:val="1"/>
    <w:qFormat/>
    <w:uiPriority w:val="0"/>
    <w:pPr>
      <w:tabs>
        <w:tab w:val="center" w:pos="4153"/>
        <w:tab w:val="right" w:pos="8306"/>
      </w:tabs>
      <w:snapToGrid w:val="0"/>
      <w:jc w:val="left"/>
    </w:pPr>
    <w:rPr>
      <w:sz w:val="18"/>
    </w:rPr>
  </w:style>
  <w:style w:type="paragraph" w:customStyle="1" w:styleId="101">
    <w:name w:val="列出段落1"/>
    <w:basedOn w:val="1"/>
    <w:qFormat/>
    <w:uiPriority w:val="0"/>
    <w:pPr>
      <w:ind w:firstLine="420" w:firstLineChars="200"/>
    </w:pPr>
  </w:style>
  <w:style w:type="paragraph" w:customStyle="1" w:styleId="102">
    <w:name w:val="p0"/>
    <w:basedOn w:val="1"/>
    <w:qFormat/>
    <w:uiPriority w:val="0"/>
    <w:pPr>
      <w:widowControl/>
    </w:pPr>
    <w:rPr>
      <w:kern w:val="0"/>
    </w:rPr>
  </w:style>
  <w:style w:type="paragraph" w:customStyle="1" w:styleId="103">
    <w:name w:val="列出段落12"/>
    <w:basedOn w:val="1"/>
    <w:qFormat/>
    <w:uiPriority w:val="0"/>
    <w:pPr>
      <w:widowControl/>
      <w:ind w:firstLine="420" w:firstLineChars="200"/>
      <w:jc w:val="left"/>
    </w:pPr>
    <w:rPr>
      <w:rFonts w:ascii="宋体" w:hAnsi="宋体"/>
      <w:kern w:val="0"/>
      <w:sz w:val="24"/>
    </w:rPr>
  </w:style>
  <w:style w:type="paragraph" w:customStyle="1" w:styleId="104">
    <w:name w:val="z-窗体底端1"/>
    <w:basedOn w:val="1"/>
    <w:next w:val="1"/>
    <w:qFormat/>
    <w:uiPriority w:val="0"/>
    <w:pPr>
      <w:widowControl/>
      <w:pBdr>
        <w:top w:val="single" w:color="auto" w:sz="6" w:space="1"/>
      </w:pBdr>
      <w:jc w:val="center"/>
    </w:pPr>
    <w:rPr>
      <w:rFonts w:ascii="Arial" w:hAnsi="Arial"/>
      <w:vanish/>
      <w:kern w:val="0"/>
      <w:sz w:val="16"/>
    </w:rPr>
  </w:style>
  <w:style w:type="character" w:customStyle="1" w:styleId="105">
    <w:name w:val="font01"/>
    <w:qFormat/>
    <w:uiPriority w:val="0"/>
    <w:rPr>
      <w:rFonts w:hint="default" w:ascii="Arial" w:hAnsi="Arial"/>
      <w:b/>
      <w:color w:val="000000"/>
      <w:sz w:val="16"/>
      <w:u w:val="none"/>
    </w:rPr>
  </w:style>
  <w:style w:type="character" w:customStyle="1" w:styleId="106">
    <w:name w:val="txtcontent11"/>
    <w:qFormat/>
    <w:uiPriority w:val="0"/>
    <w:rPr>
      <w:rFonts w:hint="default" w:ascii="ˎ̥" w:hAnsi="ˎ̥"/>
      <w:color w:val="000000"/>
      <w:sz w:val="21"/>
    </w:rPr>
  </w:style>
  <w:style w:type="character" w:customStyle="1" w:styleId="107">
    <w:name w:val="font41"/>
    <w:qFormat/>
    <w:uiPriority w:val="0"/>
    <w:rPr>
      <w:rFonts w:hint="eastAsia" w:ascii="宋体" w:hAnsi="宋体" w:eastAsia="宋体"/>
      <w:b/>
      <w:color w:val="000000"/>
      <w:sz w:val="16"/>
      <w:u w:val="none"/>
    </w:rPr>
  </w:style>
  <w:style w:type="character" w:customStyle="1" w:styleId="108">
    <w:name w:val="font81"/>
    <w:qFormat/>
    <w:uiPriority w:val="0"/>
    <w:rPr>
      <w:rFonts w:hint="eastAsia" w:ascii="宋体" w:hAnsi="宋体" w:eastAsia="宋体"/>
      <w:b/>
      <w:color w:val="000000"/>
      <w:sz w:val="16"/>
      <w:u w:val="none"/>
    </w:rPr>
  </w:style>
  <w:style w:type="character" w:customStyle="1" w:styleId="109">
    <w:name w:val="font61"/>
    <w:qFormat/>
    <w:uiPriority w:val="0"/>
    <w:rPr>
      <w:rFonts w:hint="eastAsia" w:ascii="宋体" w:hAnsi="宋体" w:eastAsia="宋体"/>
      <w:b/>
      <w:color w:val="000000"/>
      <w:sz w:val="16"/>
      <w:u w:val="none"/>
    </w:rPr>
  </w:style>
  <w:style w:type="character" w:customStyle="1" w:styleId="110">
    <w:name w:val="HTML 预设格式 字符"/>
    <w:link w:val="83"/>
    <w:qFormat/>
    <w:uiPriority w:val="0"/>
    <w:rPr>
      <w:rFonts w:ascii="Courier New" w:hAnsi="Courier New"/>
      <w:kern w:val="2"/>
    </w:rPr>
  </w:style>
  <w:style w:type="character" w:customStyle="1" w:styleId="111">
    <w:name w:val="未处理的提及1"/>
    <w:qFormat/>
    <w:uiPriority w:val="0"/>
    <w:rPr>
      <w:color w:val="808080"/>
      <w:shd w:val="clear" w:color="auto" w:fill="E6E6E6"/>
    </w:rPr>
  </w:style>
  <w:style w:type="character" w:customStyle="1" w:styleId="112">
    <w:name w:val="personpopuptrigger"/>
    <w:basedOn w:val="88"/>
    <w:qFormat/>
    <w:uiPriority w:val="0"/>
  </w:style>
  <w:style w:type="character" w:customStyle="1" w:styleId="113">
    <w:name w:val="不明显强调1"/>
    <w:qFormat/>
    <w:uiPriority w:val="0"/>
    <w:rPr>
      <w:i/>
      <w:color w:val="808080"/>
    </w:rPr>
  </w:style>
  <w:style w:type="character" w:customStyle="1" w:styleId="114">
    <w:name w:val="font71"/>
    <w:qFormat/>
    <w:uiPriority w:val="0"/>
    <w:rPr>
      <w:rFonts w:hint="eastAsia" w:ascii="宋体" w:hAnsi="宋体" w:eastAsia="宋体"/>
      <w:b/>
      <w:color w:val="000000"/>
      <w:sz w:val="16"/>
      <w:u w:val="none"/>
    </w:rPr>
  </w:style>
  <w:style w:type="character" w:customStyle="1" w:styleId="115">
    <w:name w:val="页眉 字符"/>
    <w:link w:val="60"/>
    <w:qFormat/>
    <w:uiPriority w:val="0"/>
    <w:rPr>
      <w:rFonts w:ascii="Calibri" w:hAnsi="Calibri" w:eastAsia="宋体"/>
      <w:kern w:val="2"/>
      <w:sz w:val="18"/>
      <w:lang w:val="en-US" w:eastAsia="zh-CN"/>
    </w:rPr>
  </w:style>
  <w:style w:type="character" w:customStyle="1" w:styleId="116">
    <w:name w:val="font51"/>
    <w:qFormat/>
    <w:uiPriority w:val="0"/>
    <w:rPr>
      <w:rFonts w:hint="default" w:ascii="Arial" w:hAnsi="Arial"/>
      <w:b/>
      <w:color w:val="000000"/>
      <w:sz w:val="16"/>
      <w:u w:val="none"/>
    </w:rPr>
  </w:style>
  <w:style w:type="character" w:customStyle="1" w:styleId="117">
    <w:name w:val="font11"/>
    <w:qFormat/>
    <w:uiPriority w:val="0"/>
    <w:rPr>
      <w:rFonts w:hint="default" w:ascii="Arial" w:hAnsi="Arial"/>
      <w:b/>
      <w:color w:val="000000"/>
      <w:sz w:val="16"/>
      <w:u w:val="none"/>
    </w:rPr>
  </w:style>
  <w:style w:type="character" w:customStyle="1" w:styleId="118">
    <w:name w:val="underline1"/>
    <w:qFormat/>
    <w:uiPriority w:val="0"/>
    <w:rPr>
      <w:u w:val="single"/>
    </w:rPr>
  </w:style>
  <w:style w:type="character" w:customStyle="1" w:styleId="119">
    <w:name w:val="font31"/>
    <w:qFormat/>
    <w:uiPriority w:val="0"/>
    <w:rPr>
      <w:rFonts w:hint="eastAsia" w:ascii="宋体" w:hAnsi="宋体" w:eastAsia="宋体"/>
      <w:b/>
      <w:color w:val="000000"/>
      <w:sz w:val="16"/>
      <w:u w:val="none"/>
    </w:rPr>
  </w:style>
  <w:style w:type="character" w:customStyle="1" w:styleId="120">
    <w:name w:val="apple-converted-space"/>
    <w:basedOn w:val="88"/>
    <w:qFormat/>
    <w:uiPriority w:val="0"/>
  </w:style>
  <w:style w:type="character" w:customStyle="1" w:styleId="121">
    <w:name w:val="lbldetailcontent1"/>
    <w:qFormat/>
    <w:uiPriority w:val="0"/>
  </w:style>
  <w:style w:type="character" w:customStyle="1" w:styleId="122">
    <w:name w:val="页码1"/>
    <w:basedOn w:val="88"/>
    <w:qFormat/>
    <w:uiPriority w:val="0"/>
  </w:style>
  <w:style w:type="character" w:customStyle="1" w:styleId="123">
    <w:name w:val="font21"/>
    <w:qFormat/>
    <w:uiPriority w:val="0"/>
    <w:rPr>
      <w:rFonts w:hint="eastAsia" w:ascii="宋体" w:hAnsi="宋体" w:eastAsia="宋体"/>
      <w:b/>
      <w:color w:val="000000"/>
      <w:sz w:val="16"/>
      <w:u w:val="none"/>
    </w:rPr>
  </w:style>
  <w:style w:type="paragraph" w:customStyle="1" w:styleId="124">
    <w:name w:val="List Paragraph"/>
    <w:basedOn w:val="1"/>
    <w:unhideWhenUsed/>
    <w:uiPriority w:val="99"/>
    <w:pPr>
      <w:ind w:firstLine="420" w:firstLineChars="200"/>
    </w:pPr>
  </w:style>
  <w:style w:type="paragraph" w:customStyle="1" w:styleId="125">
    <w:name w:val="header"/>
    <w:basedOn w:val="1"/>
    <w:qFormat/>
    <w:uiPriority w:val="0"/>
    <w:pPr>
      <w:pBdr>
        <w:bottom w:val="single" w:color="auto" w:sz="6" w:space="1"/>
      </w:pBdr>
      <w:tabs>
        <w:tab w:val="center" w:pos="4153"/>
        <w:tab w:val="right" w:pos="8306"/>
      </w:tabs>
      <w:snapToGrid w:val="0"/>
      <w:jc w:val="center"/>
    </w:pPr>
    <w:rPr>
      <w:rFonts w:ascii="Calibri" w:hAnsi="Calibri" w:eastAsia="宋体"/>
      <w:kern w:val="2"/>
      <w:sz w:val="18"/>
      <w:lang w:val="en-US" w:eastAsia="zh-CN"/>
    </w:rPr>
  </w:style>
  <w:style w:type="paragraph" w:customStyle="1" w:styleId="126">
    <w:name w:val="footer"/>
    <w:basedOn w:val="1"/>
    <w:qFormat/>
    <w:uiPriority w:val="0"/>
    <w:pPr>
      <w:tabs>
        <w:tab w:val="center" w:pos="4153"/>
        <w:tab w:val="right" w:pos="8306"/>
      </w:tabs>
      <w:snapToGrid w:val="0"/>
      <w:jc w:val="left"/>
    </w:pPr>
    <w:rPr>
      <w:sz w:val="18"/>
    </w:rPr>
  </w:style>
  <w:style w:type="character" w:customStyle="1" w:styleId="127">
    <w:name w:val="page number"/>
    <w:basedOn w:val="88"/>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4" Type="http://schemas.openxmlformats.org/officeDocument/2006/relationships/fontTable" Target="fontTable.xml"/><Relationship Id="rId163" Type="http://schemas.openxmlformats.org/officeDocument/2006/relationships/customXml" Target="../customXml/item2.xml"/><Relationship Id="rId162" Type="http://schemas.openxmlformats.org/officeDocument/2006/relationships/customXml" Target="../customXml/item1.xml"/><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emf"/><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Documents%25252525252525252525252525252525252525252525252525252525252520and%25252525252525252525252525252525252525252525252525252525252520Settings\Administrator\Application%25252525252525252525252525252525252525252525252525252525252520Data\Tencent\Users\546561691\QQ\WinTemp\RichOle\0)8_BB~N77$%2525252525252525252525252525252525252525252525252525252525257BE0Z8%2525252525252525252525252525252525252525252525252525252525257DY~7UIU.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FDF792-9983-4F3A-AFB5-58F6D66E273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10195</Words>
  <Characters>11352</Characters>
  <Lines>43</Lines>
  <Paragraphs>12</Paragraphs>
  <TotalTime>0</TotalTime>
  <ScaleCrop>false</ScaleCrop>
  <LinksUpToDate>false</LinksUpToDate>
  <CharactersWithSpaces>12244</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2019-02-17T09:03:00Z</dcterms:created>
  <dc:creator>AutoBVT</dc:creator>
  <cp:lastModifiedBy>yodelchu</cp:lastModifiedBy>
  <cp:lastPrinted>2018-06-22T00:41:00Z</cp:lastPrinted>
  <dcterms:modified xsi:type="dcterms:W3CDTF">2019-02-24T13:00:45Z</dcterms:modified>
  <dc:title>避险拉动，金牛隐现</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