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716833">
                              <w:rPr>
                                <w:rFonts w:ascii="黑体" w:eastAsia="黑体" w:hAnsi="Arial Black" w:hint="eastAsia"/>
                                <w:noProof/>
                                <w:color w:val="FFFFFF"/>
                                <w:sz w:val="28"/>
                              </w:rPr>
                              <w:t>2021年5月7日星期五</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716833">
                        <w:rPr>
                          <w:rFonts w:ascii="黑体" w:eastAsia="黑体" w:hAnsi="Arial Black" w:hint="eastAsia"/>
                          <w:noProof/>
                          <w:color w:val="FFFFFF"/>
                          <w:sz w:val="28"/>
                        </w:rPr>
                        <w:t>2021年5月7日星期五</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 xml:space="preserve">研究院：0571-85165192，85058093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716833">
        <w:rPr>
          <w:rFonts w:ascii="宋体" w:hAnsi="宋体"/>
          <w:b/>
          <w:noProof/>
          <w:sz w:val="30"/>
        </w:rPr>
        <w:t>2021-5-7</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653621">
            <w:pPr>
              <w:jc w:val="center"/>
            </w:pPr>
            <w:r>
              <w:rPr>
                <w:rFonts w:hint="eastAsia"/>
              </w:rPr>
              <w:t>偏多</w:t>
            </w:r>
          </w:p>
        </w:tc>
        <w:tc>
          <w:tcPr>
            <w:tcW w:w="7380" w:type="dxa"/>
            <w:vMerge w:val="restart"/>
          </w:tcPr>
          <w:p w:rsidR="00CF6558" w:rsidRPr="000B389F" w:rsidRDefault="00653621">
            <w:pPr>
              <w:rPr>
                <w:rFonts w:ascii="宋体" w:hAnsi="宋体" w:cs="宋体"/>
                <w:sz w:val="18"/>
                <w:szCs w:val="18"/>
              </w:rPr>
            </w:pPr>
            <w:r>
              <w:rPr>
                <w:rFonts w:ascii="宋体" w:hAnsi="宋体" w:cs="宋体" w:hint="eastAsia"/>
                <w:b/>
                <w:sz w:val="18"/>
                <w:szCs w:val="18"/>
              </w:rPr>
              <w:t>螺纹：</w:t>
            </w:r>
            <w:r w:rsidR="00340CA3" w:rsidRPr="00340CA3">
              <w:rPr>
                <w:rFonts w:ascii="宋体" w:hAnsi="宋体" w:cs="宋体" w:hint="eastAsia"/>
                <w:bCs/>
                <w:sz w:val="18"/>
                <w:szCs w:val="18"/>
              </w:rPr>
              <w:t>螺纹现货价格涨220元/吨，</w:t>
            </w:r>
            <w:r w:rsidR="000B389F" w:rsidRPr="000B389F">
              <w:rPr>
                <w:rFonts w:ascii="宋体" w:hAnsi="宋体" w:cs="宋体" w:hint="eastAsia"/>
                <w:bCs/>
                <w:sz w:val="18"/>
                <w:szCs w:val="18"/>
              </w:rPr>
              <w:t>钢坯连续上涨，钢厂高利润得以持续，增产扩产动力强。就目前市场来看，成材基本面依旧较好，终端需求保持良好水平，社会库存继续大幅下降，成材价格有望高位运行，电炉持续高产并且致力于提产。虽然限产继续，邯郸制定钢铁生产调控方案，唐山再发限产通知，国家对于压缩粗钢产量的方针政策也在持续，但产量短期维持高位。目前处于二季度消费旺季，华东消费加速，北方气温转暖，工地施工加速，现货需求持续好转。钢厂利润空间进一步拓展，电炉钢的供应量继续增加，一定程度上弥补了北方高炉减产的缺口，螺纹产量五连增。房地产数据整体依然稳中向好 ，销售数据靓丽，行业韧性十足。螺纹钢价格创出新高，长期看螺纹将迎来新牛市，偏多为主。</w:t>
            </w:r>
          </w:p>
          <w:p w:rsidR="00CF6558" w:rsidRDefault="00653621">
            <w:pPr>
              <w:rPr>
                <w:rFonts w:ascii="宋体" w:hAnsi="宋体" w:cs="宋体"/>
                <w:bCs/>
                <w:sz w:val="18"/>
                <w:szCs w:val="18"/>
              </w:rPr>
            </w:pPr>
            <w:r>
              <w:rPr>
                <w:rFonts w:ascii="宋体" w:hAnsi="宋体" w:cs="宋体" w:hint="eastAsia"/>
                <w:b/>
                <w:sz w:val="18"/>
                <w:szCs w:val="18"/>
              </w:rPr>
              <w:t>铁矿：</w:t>
            </w:r>
            <w:r w:rsidR="00340CA3" w:rsidRPr="00340CA3">
              <w:rPr>
                <w:rFonts w:ascii="宋体" w:hAnsi="宋体" w:cs="宋体" w:hint="eastAsia"/>
                <w:bCs/>
                <w:sz w:val="18"/>
                <w:szCs w:val="18"/>
              </w:rPr>
              <w:t>普氏指数刷出202.65新高，</w:t>
            </w:r>
            <w:r w:rsidR="00A56612" w:rsidRPr="00A56612">
              <w:rPr>
                <w:rFonts w:ascii="宋体" w:hAnsi="宋体" w:cs="宋体" w:hint="eastAsia"/>
                <w:bCs/>
                <w:sz w:val="18"/>
                <w:szCs w:val="18"/>
              </w:rPr>
              <w:t>澳洲发运环比大增，同比表现转正，其中力拓和必和必拓增量较为明显 ；淡水河谷发运维持震荡，今年受极端天气影响明显较小，预计后续到港量将逐渐回升。螺纹限产压制了短期需求，在其它地区检修结束、高炉投产、高利 润刺激增产下，铁水产量后期预计仍有上升空间，加之成材的极高利润，利润自下而上传导可能，补库意愿仍较强。钢厂在高利润下采购转向中高品矿，高低品价差拉大。港口铁矿石库存小幅增加，钢厂铁矿石库存较节前减少3-5天。成材大幅拉涨，带动原料端补库需求，节后市场氛围依然较好，铁矿偏强。</w:t>
            </w:r>
          </w:p>
          <w:p w:rsidR="00CF6558" w:rsidRPr="0026279D" w:rsidRDefault="00653621" w:rsidP="0026279D">
            <w:pPr>
              <w:rPr>
                <w:rFonts w:ascii="宋体" w:hAnsi="宋体" w:cs="宋体"/>
                <w:bCs/>
                <w:sz w:val="18"/>
                <w:szCs w:val="18"/>
              </w:rPr>
            </w:pPr>
            <w:r>
              <w:rPr>
                <w:rFonts w:ascii="宋体" w:hAnsi="宋体" w:cs="宋体" w:hint="eastAsia"/>
                <w:b/>
                <w:sz w:val="18"/>
                <w:szCs w:val="18"/>
              </w:rPr>
              <w:t>动力煤</w:t>
            </w:r>
            <w:r>
              <w:rPr>
                <w:rFonts w:ascii="宋体" w:hAnsi="宋体" w:cs="宋体" w:hint="eastAsia"/>
                <w:bCs/>
                <w:sz w:val="18"/>
                <w:szCs w:val="18"/>
              </w:rPr>
              <w:t>：</w:t>
            </w:r>
            <w:r w:rsidR="0026279D" w:rsidRPr="0026279D">
              <w:rPr>
                <w:rFonts w:ascii="宋体" w:hAnsi="宋体" w:cs="宋体" w:hint="eastAsia"/>
                <w:bCs/>
                <w:sz w:val="18"/>
                <w:szCs w:val="18"/>
              </w:rPr>
              <w:t>现货端产地煤价维持正常水平，内蒙上调10-20元/吨，榆林上调20元/吨，销售并未受假期影响而降温。随着大秦线检修结束，发运恢复之前水平，但北方港库存增量不及预期，仅增加33万吨。需求方面，为了迎接日耗高峰，假期期间电厂检修较多。整体来看，后续日耗会逐步回升，下游电厂库存仍旧低位，电厂补库任务比较重，港口贸易商对节后后市情绪乐观，捂货不出，也反应下游需求的确旺盛。</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653621">
            <w:pPr>
              <w:jc w:val="center"/>
            </w:pPr>
            <w:r>
              <w:rPr>
                <w:rFonts w:hint="eastAsia"/>
              </w:rPr>
              <w:t>偏强</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653621">
            <w:pPr>
              <w:jc w:val="center"/>
            </w:pPr>
            <w:r>
              <w:rPr>
                <w:rFonts w:hint="eastAsia"/>
              </w:rPr>
              <w:t>偏强</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653621">
            <w:pPr>
              <w:widowControl/>
              <w:jc w:val="center"/>
              <w:rPr>
                <w:rFonts w:ascii="宋体" w:hAnsi="宋体"/>
                <w:szCs w:val="21"/>
              </w:rPr>
            </w:pPr>
            <w:r>
              <w:rPr>
                <w:rFonts w:hint="eastAsia"/>
              </w:rPr>
              <w:t>反弹</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653621">
            <w:pPr>
              <w:jc w:val="center"/>
              <w:rPr>
                <w:rFonts w:ascii="宋体" w:hAnsi="宋体"/>
                <w:kern w:val="0"/>
                <w:szCs w:val="21"/>
              </w:rPr>
            </w:pPr>
            <w:r>
              <w:rPr>
                <w:rFonts w:hint="eastAsia"/>
              </w:rPr>
              <w:t>偏强</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短线与中线多单谨慎持有</w:t>
            </w:r>
          </w:p>
        </w:tc>
        <w:tc>
          <w:tcPr>
            <w:tcW w:w="7380" w:type="dxa"/>
            <w:vMerge w:val="restart"/>
          </w:tcPr>
          <w:p w:rsidR="00716833" w:rsidRPr="00716833" w:rsidRDefault="00716833" w:rsidP="00716833">
            <w:pPr>
              <w:rPr>
                <w:rFonts w:ascii="宋体" w:hAnsi="宋体" w:cs="宋体" w:hint="eastAsia"/>
                <w:sz w:val="18"/>
                <w:szCs w:val="18"/>
              </w:rPr>
            </w:pPr>
            <w:r w:rsidRPr="00716833">
              <w:rPr>
                <w:rFonts w:ascii="宋体" w:hAnsi="宋体" w:cs="宋体" w:hint="eastAsia"/>
                <w:b/>
                <w:sz w:val="18"/>
                <w:szCs w:val="18"/>
              </w:rPr>
              <w:t>铜：</w:t>
            </w:r>
            <w:r w:rsidRPr="00716833">
              <w:rPr>
                <w:rFonts w:ascii="宋体" w:hAnsi="宋体" w:cs="宋体" w:hint="eastAsia"/>
                <w:sz w:val="18"/>
                <w:szCs w:val="18"/>
              </w:rPr>
              <w:t>全球经济复苏依然强劲 伦铜库存去库加快 沪铜高开宽幅震荡整理</w:t>
            </w:r>
          </w:p>
          <w:p w:rsidR="00716833" w:rsidRPr="00716833" w:rsidRDefault="00716833" w:rsidP="00716833">
            <w:pPr>
              <w:rPr>
                <w:rFonts w:ascii="宋体" w:hAnsi="宋体" w:cs="宋体" w:hint="eastAsia"/>
                <w:sz w:val="18"/>
                <w:szCs w:val="18"/>
              </w:rPr>
            </w:pPr>
            <w:r w:rsidRPr="00716833">
              <w:rPr>
                <w:rFonts w:ascii="宋体" w:hAnsi="宋体" w:cs="宋体" w:hint="eastAsia"/>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716833" w:rsidRPr="00716833" w:rsidRDefault="00716833" w:rsidP="00716833">
            <w:pPr>
              <w:rPr>
                <w:rFonts w:ascii="宋体" w:hAnsi="宋体" w:cs="宋体" w:hint="eastAsia"/>
                <w:sz w:val="18"/>
                <w:szCs w:val="18"/>
              </w:rPr>
            </w:pPr>
            <w:r w:rsidRPr="00716833">
              <w:rPr>
                <w:rFonts w:ascii="宋体" w:hAnsi="宋体" w:cs="宋体" w:hint="eastAsia"/>
                <w:sz w:val="18"/>
                <w:szCs w:val="18"/>
              </w:rPr>
              <w:t>关注欧美的疫情与国内的疫情变化、南美铜矿的供应、碳中和与新能源汽车以及中美两国的基建对铜需求的拉动影响、美联储的货币政策变化、美债收益率与美元指数的变化、美国基建计划的变数</w:t>
            </w:r>
          </w:p>
          <w:p w:rsidR="00716833" w:rsidRPr="00716833" w:rsidRDefault="00716833" w:rsidP="00716833">
            <w:pPr>
              <w:rPr>
                <w:rFonts w:ascii="宋体" w:hAnsi="宋体" w:cs="宋体" w:hint="eastAsia"/>
                <w:sz w:val="18"/>
                <w:szCs w:val="18"/>
              </w:rPr>
            </w:pPr>
            <w:r w:rsidRPr="00716833">
              <w:rPr>
                <w:rFonts w:ascii="宋体" w:hAnsi="宋体" w:cs="宋体" w:hint="eastAsia"/>
                <w:b/>
                <w:sz w:val="18"/>
                <w:szCs w:val="18"/>
              </w:rPr>
              <w:t>铝：</w:t>
            </w:r>
            <w:r w:rsidRPr="00716833">
              <w:rPr>
                <w:rFonts w:ascii="宋体" w:hAnsi="宋体" w:cs="宋体" w:hint="eastAsia"/>
                <w:sz w:val="18"/>
                <w:szCs w:val="18"/>
              </w:rPr>
              <w:t>未来供应边际增速持续收紧 国内社库持续去化 沪铝高开高走震荡上行</w:t>
            </w:r>
          </w:p>
          <w:p w:rsidR="00716833" w:rsidRPr="00716833" w:rsidRDefault="00716833" w:rsidP="00716833">
            <w:pPr>
              <w:rPr>
                <w:rFonts w:ascii="宋体" w:hAnsi="宋体" w:cs="宋体" w:hint="eastAsia"/>
                <w:sz w:val="18"/>
                <w:szCs w:val="18"/>
              </w:rPr>
            </w:pPr>
            <w:r w:rsidRPr="00716833">
              <w:rPr>
                <w:rFonts w:ascii="宋体" w:hAnsi="宋体" w:cs="宋体" w:hint="eastAsia"/>
                <w:sz w:val="18"/>
                <w:szCs w:val="18"/>
              </w:rPr>
              <w:t>从当前的下游消费需求来看，当前，下游消费复苏明显；从当前社会库存变化来看，拐头迹</w:t>
            </w:r>
            <w:r w:rsidRPr="00716833">
              <w:rPr>
                <w:rFonts w:ascii="宋体" w:hAnsi="宋体" w:cs="宋体" w:hint="eastAsia"/>
                <w:sz w:val="18"/>
                <w:szCs w:val="18"/>
              </w:rPr>
              <w:lastRenderedPageBreak/>
              <w:t>象已非常明显，旺季去库依然可期，此外，在碳排放-碳中和相关政策利好下，电解铝供应干扰提升，这将对铝价形成利多支撑。</w:t>
            </w:r>
          </w:p>
          <w:p w:rsidR="00716833" w:rsidRPr="00716833" w:rsidRDefault="00716833" w:rsidP="00716833">
            <w:pPr>
              <w:rPr>
                <w:rFonts w:ascii="宋体" w:hAnsi="宋体" w:cs="宋体" w:hint="eastAsia"/>
                <w:sz w:val="18"/>
                <w:szCs w:val="18"/>
              </w:rPr>
            </w:pPr>
            <w:r w:rsidRPr="00716833">
              <w:rPr>
                <w:rFonts w:ascii="宋体" w:hAnsi="宋体" w:cs="宋体" w:hint="eastAsia"/>
                <w:sz w:val="18"/>
                <w:szCs w:val="18"/>
              </w:rPr>
              <w:t>关注秋碳中和与碳达峰对运行产能与新增产能投放的影响、交易所的库存变化与消费的变化、新能源车的发展、内蒙推进减产进程</w:t>
            </w:r>
          </w:p>
          <w:p w:rsidR="00716833" w:rsidRPr="00716833" w:rsidRDefault="00716833" w:rsidP="00716833">
            <w:pPr>
              <w:rPr>
                <w:rFonts w:ascii="宋体" w:hAnsi="宋体" w:cs="宋体" w:hint="eastAsia"/>
                <w:sz w:val="18"/>
                <w:szCs w:val="18"/>
              </w:rPr>
            </w:pPr>
            <w:r w:rsidRPr="00716833">
              <w:rPr>
                <w:rFonts w:ascii="宋体" w:hAnsi="宋体" w:cs="宋体" w:hint="eastAsia"/>
                <w:b/>
                <w:sz w:val="18"/>
                <w:szCs w:val="18"/>
              </w:rPr>
              <w:t>锌：</w:t>
            </w:r>
            <w:r w:rsidRPr="00716833">
              <w:rPr>
                <w:rFonts w:ascii="宋体" w:hAnsi="宋体" w:cs="宋体" w:hint="eastAsia"/>
                <w:sz w:val="18"/>
                <w:szCs w:val="18"/>
              </w:rPr>
              <w:t>全球供应过剩量将收窄 VS 压铸锌将迎来淡季  沪锌低探回升</w:t>
            </w:r>
          </w:p>
          <w:p w:rsidR="00716833" w:rsidRPr="00716833" w:rsidRDefault="00716833" w:rsidP="00716833">
            <w:pPr>
              <w:rPr>
                <w:rFonts w:ascii="宋体" w:hAnsi="宋体" w:cs="宋体" w:hint="eastAsia"/>
                <w:sz w:val="18"/>
                <w:szCs w:val="18"/>
              </w:rPr>
            </w:pPr>
            <w:r w:rsidRPr="00716833">
              <w:rPr>
                <w:rFonts w:ascii="宋体" w:hAnsi="宋体" w:cs="宋体" w:hint="eastAsia"/>
                <w:sz w:val="18"/>
                <w:szCs w:val="18"/>
              </w:rPr>
              <w:t>一方面，从海关数据来看，虽然3月我国精锌进口环比增与同比均大幅增加，但从实际进口量叠加国内产量及社库来看，总供应量仍维持紧平衡结构，供应形势并没有发生实质性的改变；另一方面，从当前的现货市场情况来看，下游消费依然向好，这将对锌价形成上涨支撑。</w:t>
            </w:r>
          </w:p>
          <w:p w:rsidR="00716833" w:rsidRPr="00716833" w:rsidRDefault="00716833" w:rsidP="00716833">
            <w:pPr>
              <w:rPr>
                <w:rFonts w:ascii="宋体" w:hAnsi="宋体" w:cs="宋体" w:hint="eastAsia"/>
                <w:sz w:val="18"/>
                <w:szCs w:val="18"/>
              </w:rPr>
            </w:pPr>
            <w:r w:rsidRPr="00716833">
              <w:rPr>
                <w:rFonts w:ascii="宋体" w:hAnsi="宋体" w:cs="宋体" w:hint="eastAsia"/>
                <w:sz w:val="18"/>
                <w:szCs w:val="18"/>
              </w:rPr>
              <w:t>关注加工费的持续下滑与矿端供应收紧、炼厂的检修计划、下游的开工率与产能利用率、下游的环保限产情况、美国基建的变数</w:t>
            </w:r>
          </w:p>
          <w:p w:rsidR="00716833" w:rsidRPr="00716833" w:rsidRDefault="00716833" w:rsidP="00716833">
            <w:pPr>
              <w:rPr>
                <w:rFonts w:ascii="宋体" w:hAnsi="宋体" w:cs="宋体" w:hint="eastAsia"/>
                <w:sz w:val="18"/>
                <w:szCs w:val="18"/>
              </w:rPr>
            </w:pPr>
            <w:r w:rsidRPr="00716833">
              <w:rPr>
                <w:rFonts w:ascii="宋体" w:hAnsi="宋体" w:cs="宋体" w:hint="eastAsia"/>
                <w:b/>
                <w:sz w:val="18"/>
                <w:szCs w:val="18"/>
              </w:rPr>
              <w:t>铅：</w:t>
            </w:r>
            <w:r w:rsidRPr="00716833">
              <w:rPr>
                <w:rFonts w:ascii="宋体" w:hAnsi="宋体" w:cs="宋体" w:hint="eastAsia"/>
                <w:sz w:val="18"/>
                <w:szCs w:val="18"/>
              </w:rPr>
              <w:t>供应将由紧转松VS伦铅大幅拉涨 沪铅冲高回落</w:t>
            </w:r>
          </w:p>
          <w:p w:rsidR="00716833" w:rsidRPr="00716833" w:rsidRDefault="00716833" w:rsidP="00716833">
            <w:pPr>
              <w:rPr>
                <w:rFonts w:ascii="宋体" w:hAnsi="宋体" w:cs="宋体" w:hint="eastAsia"/>
                <w:sz w:val="18"/>
                <w:szCs w:val="18"/>
              </w:rPr>
            </w:pPr>
            <w:r w:rsidRPr="00716833">
              <w:rPr>
                <w:rFonts w:ascii="宋体" w:hAnsi="宋体" w:cs="宋体" w:hint="eastAsia"/>
                <w:sz w:val="18"/>
                <w:szCs w:val="18"/>
              </w:rPr>
              <w:t>虽然矿端供应略微偏紧，但炼厂供应压力有所下降，短期的铅价有所上扬，不过在下游需求未见好转的情况下，铅价上行动能不强，或将回归下行趋势。</w:t>
            </w:r>
          </w:p>
          <w:p w:rsidR="00716833" w:rsidRPr="00716833" w:rsidRDefault="00716833" w:rsidP="00716833">
            <w:pPr>
              <w:rPr>
                <w:rFonts w:ascii="宋体" w:hAnsi="宋体" w:cs="宋体" w:hint="eastAsia"/>
                <w:sz w:val="18"/>
                <w:szCs w:val="18"/>
              </w:rPr>
            </w:pPr>
            <w:r w:rsidRPr="00716833">
              <w:rPr>
                <w:rFonts w:ascii="宋体" w:hAnsi="宋体" w:cs="宋体" w:hint="eastAsia"/>
                <w:sz w:val="18"/>
                <w:szCs w:val="18"/>
              </w:rPr>
              <w:t>关注秘鲁疫情防控措施对铅矿供应的影响、原生铅与再生铅的供应变化、下游汽车消费需求与电动自行车的消费需求变化、下游蓄企的备货情况、内蒙减产计划</w:t>
            </w:r>
          </w:p>
          <w:p w:rsidR="00716833" w:rsidRPr="00716833" w:rsidRDefault="00716833" w:rsidP="00716833">
            <w:pPr>
              <w:rPr>
                <w:rFonts w:ascii="宋体" w:hAnsi="宋体" w:cs="宋体" w:hint="eastAsia"/>
                <w:sz w:val="18"/>
                <w:szCs w:val="18"/>
              </w:rPr>
            </w:pPr>
            <w:r w:rsidRPr="00716833">
              <w:rPr>
                <w:rFonts w:ascii="宋体" w:hAnsi="宋体" w:cs="宋体" w:hint="eastAsia"/>
                <w:b/>
                <w:sz w:val="18"/>
                <w:szCs w:val="18"/>
              </w:rPr>
              <w:t>锡：</w:t>
            </w:r>
            <w:r w:rsidRPr="00716833">
              <w:rPr>
                <w:rFonts w:ascii="宋体" w:hAnsi="宋体" w:cs="宋体" w:hint="eastAsia"/>
                <w:sz w:val="18"/>
                <w:szCs w:val="18"/>
              </w:rPr>
              <w:t>马来西亚疫情引发供应忧虑上升 沪锡跳空高开后宽幅震荡整理</w:t>
            </w:r>
          </w:p>
          <w:p w:rsidR="00716833" w:rsidRPr="00716833" w:rsidRDefault="00716833" w:rsidP="00716833">
            <w:pPr>
              <w:rPr>
                <w:rFonts w:ascii="宋体" w:hAnsi="宋体" w:cs="宋体" w:hint="eastAsia"/>
                <w:sz w:val="18"/>
                <w:szCs w:val="18"/>
              </w:rPr>
            </w:pPr>
            <w:r w:rsidRPr="00716833">
              <w:rPr>
                <w:rFonts w:ascii="宋体" w:hAnsi="宋体" w:cs="宋体" w:hint="eastAsia"/>
                <w:sz w:val="18"/>
                <w:szCs w:val="18"/>
              </w:rPr>
              <w:t>一方面，上游非洲锡矿表示过去一年产量超预期、康尼什金属公司将重新开发南克罗夫蒂锡矿出现进展将使得未来供应紧张形势有所缓解，另一方面，当前下游的需求仍显乏力，供需两淡将使使锡价承压。</w:t>
            </w:r>
          </w:p>
          <w:p w:rsidR="00716833" w:rsidRPr="00716833" w:rsidRDefault="00716833" w:rsidP="00716833">
            <w:pPr>
              <w:rPr>
                <w:rFonts w:ascii="宋体" w:hAnsi="宋体" w:cs="宋体" w:hint="eastAsia"/>
                <w:sz w:val="18"/>
                <w:szCs w:val="18"/>
              </w:rPr>
            </w:pPr>
            <w:r w:rsidRPr="00716833">
              <w:rPr>
                <w:rFonts w:ascii="宋体" w:hAnsi="宋体" w:cs="宋体" w:hint="eastAsia"/>
                <w:sz w:val="18"/>
                <w:szCs w:val="18"/>
              </w:rPr>
              <w:t>关注锡矿与精锡的供应减少与下游需求相对稳定的矛盾、去库速度、云锡新生产线的投产进度</w:t>
            </w:r>
          </w:p>
          <w:p w:rsidR="00716833" w:rsidRPr="00716833" w:rsidRDefault="00716833" w:rsidP="00716833">
            <w:pPr>
              <w:rPr>
                <w:rFonts w:ascii="宋体" w:hAnsi="宋体" w:cs="宋体" w:hint="eastAsia"/>
                <w:sz w:val="18"/>
                <w:szCs w:val="18"/>
              </w:rPr>
            </w:pPr>
            <w:r w:rsidRPr="00716833">
              <w:rPr>
                <w:rFonts w:ascii="宋体" w:hAnsi="宋体" w:cs="宋体" w:hint="eastAsia"/>
                <w:b/>
                <w:sz w:val="18"/>
                <w:szCs w:val="18"/>
              </w:rPr>
              <w:t>镍：</w:t>
            </w:r>
            <w:r w:rsidRPr="00716833">
              <w:rPr>
                <w:rFonts w:ascii="宋体" w:hAnsi="宋体" w:cs="宋体" w:hint="eastAsia"/>
                <w:sz w:val="18"/>
                <w:szCs w:val="18"/>
              </w:rPr>
              <w:t>硫酸镍需求旺盛 国内精镍社库持续回落  沪镍先抑后扬</w:t>
            </w:r>
          </w:p>
          <w:p w:rsidR="00716833" w:rsidRPr="00716833" w:rsidRDefault="00716833" w:rsidP="00716833">
            <w:pPr>
              <w:rPr>
                <w:rFonts w:ascii="宋体" w:hAnsi="宋体" w:cs="宋体" w:hint="eastAsia"/>
                <w:sz w:val="18"/>
                <w:szCs w:val="18"/>
              </w:rPr>
            </w:pPr>
            <w:r w:rsidRPr="00716833">
              <w:rPr>
                <w:rFonts w:ascii="宋体" w:hAnsi="宋体" w:cs="宋体" w:hint="eastAsia"/>
                <w:sz w:val="18"/>
                <w:szCs w:val="18"/>
              </w:rPr>
              <w:t>一方面，未来国内镍铁供应仍将受限，而如若菲律宾镍矿供应出现天气问题或是印尼镍铁回流不及预期，则国内镍铁供应将持续偏紧，再次促成供需错配行情；另一方面，当前下游需求将保持稳定，而这将使得镍价维持宽幅震荡整理。</w:t>
            </w:r>
          </w:p>
          <w:p w:rsidR="00CF6558" w:rsidRDefault="00716833" w:rsidP="00716833">
            <w:pPr>
              <w:rPr>
                <w:rFonts w:ascii="宋体" w:hAnsi="宋体" w:cs="宋体"/>
                <w:sz w:val="18"/>
                <w:szCs w:val="18"/>
              </w:rPr>
            </w:pPr>
            <w:r w:rsidRPr="00716833">
              <w:rPr>
                <w:rFonts w:ascii="宋体" w:hAnsi="宋体" w:cs="宋体" w:hint="eastAsia"/>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短线与中线多单谨慎持有</w:t>
            </w:r>
          </w:p>
        </w:tc>
        <w:tc>
          <w:tcPr>
            <w:tcW w:w="7380" w:type="dxa"/>
            <w:vMerge/>
          </w:tcPr>
          <w:p w:rsidR="00CF6558" w:rsidRDefault="00CF6558">
            <w:pPr>
              <w:rPr>
                <w:rFonts w:ascii="宋体" w:hAnsi="宋体" w:cs="宋体"/>
                <w:sz w:val="18"/>
                <w:szCs w:val="18"/>
              </w:rPr>
            </w:pPr>
          </w:p>
        </w:tc>
      </w:tr>
      <w:tr w:rsidR="00CF6558">
        <w:trPr>
          <w:trHeight w:val="181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铅</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短线与中线空单谨慎持有</w:t>
            </w:r>
          </w:p>
        </w:tc>
        <w:tc>
          <w:tcPr>
            <w:tcW w:w="7380" w:type="dxa"/>
            <w:vMerge/>
          </w:tcPr>
          <w:p w:rsidR="00CF6558" w:rsidRDefault="00CF6558">
            <w:pPr>
              <w:rPr>
                <w:rFonts w:ascii="宋体" w:hAnsi="宋体" w:cs="宋体"/>
                <w:sz w:val="18"/>
                <w:szCs w:val="18"/>
              </w:rPr>
            </w:pPr>
          </w:p>
        </w:tc>
      </w:tr>
      <w:tr w:rsidR="00CF6558">
        <w:trPr>
          <w:trHeight w:val="159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锡</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镍</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豆粕</w:t>
            </w:r>
          </w:p>
        </w:tc>
        <w:tc>
          <w:tcPr>
            <w:tcW w:w="1123" w:type="dxa"/>
            <w:vAlign w:val="center"/>
          </w:tcPr>
          <w:p w:rsidR="00CF6558" w:rsidRDefault="00653621">
            <w:pPr>
              <w:jc w:val="center"/>
              <w:rPr>
                <w:rFonts w:ascii="宋体" w:hAnsi="宋体"/>
                <w:szCs w:val="21"/>
              </w:rPr>
            </w:pPr>
            <w:r>
              <w:rPr>
                <w:rFonts w:hint="eastAsia"/>
              </w:rPr>
              <w:t>高位震荡</w:t>
            </w:r>
          </w:p>
        </w:tc>
        <w:tc>
          <w:tcPr>
            <w:tcW w:w="7380" w:type="dxa"/>
            <w:vMerge w:val="restart"/>
          </w:tcPr>
          <w:p w:rsidR="00A56612" w:rsidRDefault="00A56612">
            <w:pPr>
              <w:widowControl/>
              <w:jc w:val="left"/>
            </w:pPr>
            <w:r w:rsidRPr="00A56612">
              <w:rPr>
                <w:rFonts w:ascii="宋体" w:hAnsi="宋体" w:cs="宋体"/>
                <w:b/>
                <w:sz w:val="18"/>
                <w:szCs w:val="18"/>
              </w:rPr>
              <w:t>粕类：</w:t>
            </w:r>
            <w:r w:rsidRPr="00A56612">
              <w:rPr>
                <w:rFonts w:ascii="宋体" w:hAnsi="宋体" w:cs="宋体"/>
                <w:bCs/>
                <w:sz w:val="18"/>
                <w:szCs w:val="18"/>
              </w:rPr>
              <w:t>美国大豆种植进度保持良好，豆产区干旱面积的上升，美国大豆实际偏低，任何短期利多的消息都有可能因此而被放大。多家机构下调阿根廷大豆产量，南美大豆集中上市季节到来。国内大豆进口成本高企，盘面压榨利润持续亏损，油厂开机率不高，，国内非洲猪瘟影响犹在，小麦替代玉米也影响豆粕需求，不过蛋鸡存栏处于缓增状态。且目前鱼虾的价格高，刺激水产养殖户积极性，加上目前已进入水产养殖需求旺季，水产料需求有望放大，预计豆粕震荡偏强。</w:t>
            </w:r>
          </w:p>
          <w:p w:rsidR="00CF6558" w:rsidRDefault="00653621" w:rsidP="00A56612">
            <w:pPr>
              <w:widowControl/>
              <w:jc w:val="left"/>
              <w:rPr>
                <w:rFonts w:ascii="宋体" w:hAnsi="宋体" w:cs="宋体"/>
                <w:b/>
                <w:bCs/>
                <w:kern w:val="0"/>
                <w:sz w:val="18"/>
                <w:szCs w:val="18"/>
              </w:rPr>
            </w:pPr>
            <w:r>
              <w:rPr>
                <w:rFonts w:ascii="宋体" w:hAnsi="宋体" w:cs="宋体" w:hint="eastAsia"/>
                <w:b/>
                <w:sz w:val="18"/>
                <w:szCs w:val="18"/>
              </w:rPr>
              <w:t>油脂</w:t>
            </w:r>
            <w:r>
              <w:rPr>
                <w:rFonts w:ascii="宋体" w:hAnsi="宋体" w:cs="宋体" w:hint="eastAsia"/>
                <w:bCs/>
                <w:sz w:val="18"/>
                <w:szCs w:val="18"/>
              </w:rPr>
              <w:t>：</w:t>
            </w:r>
            <w:r w:rsidR="00A56612" w:rsidRPr="00A56612">
              <w:rPr>
                <w:rFonts w:ascii="宋体" w:hAnsi="宋体" w:cs="宋体"/>
                <w:bCs/>
                <w:sz w:val="18"/>
                <w:szCs w:val="18"/>
              </w:rPr>
              <w:t>马棕油进入季节性增产季但劳动工人仍然缺乏，马棕阶段性出口环比增长而产量环比略有下降，不过印度新冠疫情形势恶化以及全球斋月前备货的结束或令棕榈油需求前景蒙上阴影。美国大豆和豆油库存的实际偏低，任何短期利多的消息都有可能因此而被放大。国内进口大豆成本偏高，进口大豆盘面榨利仍大幅亏损，豆油棕榈油库存仍处于多年同期低位，油脂基本面偏多依旧，再加上美元贬值，全球通胀担忧，给油脂带来潜在支撑，油脂或震荡偏强。</w:t>
            </w:r>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菜粕</w:t>
            </w:r>
          </w:p>
        </w:tc>
        <w:tc>
          <w:tcPr>
            <w:tcW w:w="1123" w:type="dxa"/>
            <w:vAlign w:val="center"/>
          </w:tcPr>
          <w:p w:rsidR="00CF6558" w:rsidRDefault="00653621">
            <w:pPr>
              <w:jc w:val="center"/>
              <w:rPr>
                <w:rFonts w:ascii="宋体" w:hAnsi="宋体"/>
                <w:color w:val="000000"/>
                <w:szCs w:val="21"/>
              </w:rPr>
            </w:pPr>
            <w:r>
              <w:rPr>
                <w:rFonts w:hint="eastAsia"/>
              </w:rPr>
              <w:t>高位震荡</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trPr>
          <w:trHeight w:val="791"/>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豆一</w:t>
            </w:r>
          </w:p>
        </w:tc>
        <w:tc>
          <w:tcPr>
            <w:tcW w:w="1123" w:type="dxa"/>
            <w:vAlign w:val="center"/>
          </w:tcPr>
          <w:p w:rsidR="00CF6558" w:rsidRDefault="00653621">
            <w:pPr>
              <w:jc w:val="center"/>
              <w:rPr>
                <w:rFonts w:ascii="宋体" w:hAnsi="宋体"/>
                <w:color w:val="000000"/>
                <w:szCs w:val="21"/>
              </w:rPr>
            </w:pPr>
            <w:r>
              <w:t>震荡</w:t>
            </w:r>
            <w:r>
              <w:rPr>
                <w:rFonts w:hint="eastAsia"/>
              </w:rPr>
              <w:t>偏多</w:t>
            </w:r>
          </w:p>
        </w:tc>
        <w:tc>
          <w:tcPr>
            <w:tcW w:w="7380" w:type="dxa"/>
            <w:vMerge/>
          </w:tcPr>
          <w:p w:rsidR="00CF6558" w:rsidRDefault="00CF6558">
            <w:pPr>
              <w:rPr>
                <w:rFonts w:ascii="宋体" w:hAnsi="宋体" w:cs="宋体"/>
                <w:kern w:val="0"/>
                <w:sz w:val="18"/>
                <w:szCs w:val="18"/>
              </w:rPr>
            </w:pPr>
          </w:p>
        </w:tc>
      </w:tr>
      <w:tr w:rsidR="00CF6558">
        <w:trPr>
          <w:trHeight w:val="66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豆二</w:t>
            </w:r>
          </w:p>
        </w:tc>
        <w:tc>
          <w:tcPr>
            <w:tcW w:w="1123" w:type="dxa"/>
            <w:vAlign w:val="center"/>
          </w:tcPr>
          <w:p w:rsidR="00CF6558" w:rsidRDefault="00653621">
            <w:pPr>
              <w:jc w:val="center"/>
              <w:rPr>
                <w:rFonts w:ascii="宋体" w:hAnsi="宋体"/>
                <w:color w:val="000000"/>
                <w:szCs w:val="21"/>
              </w:rPr>
            </w:pPr>
            <w:r>
              <w:rPr>
                <w:rFonts w:hint="eastAsia"/>
              </w:rPr>
              <w:t>高位震荡</w:t>
            </w:r>
          </w:p>
        </w:tc>
        <w:tc>
          <w:tcPr>
            <w:tcW w:w="7380" w:type="dxa"/>
            <w:vMerge/>
          </w:tcPr>
          <w:p w:rsidR="00CF6558" w:rsidRDefault="00CF6558">
            <w:pPr>
              <w:widowControl/>
              <w:rPr>
                <w:rFonts w:ascii="宋体" w:hAnsi="宋体" w:cs="宋体"/>
                <w:kern w:val="0"/>
                <w:sz w:val="18"/>
                <w:szCs w:val="18"/>
              </w:rPr>
            </w:pPr>
          </w:p>
        </w:tc>
      </w:tr>
      <w:tr w:rsidR="00CF6558">
        <w:trPr>
          <w:trHeight w:val="63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653621">
            <w:pPr>
              <w:jc w:val="center"/>
              <w:rPr>
                <w:rFonts w:ascii="宋体" w:hAnsi="宋体"/>
                <w:color w:val="000000"/>
                <w:szCs w:val="21"/>
              </w:rPr>
            </w:pPr>
            <w:r>
              <w:rPr>
                <w:rFonts w:ascii="宋体" w:hAnsi="宋体" w:hint="eastAsia"/>
                <w:color w:val="000000"/>
                <w:szCs w:val="21"/>
              </w:rPr>
              <w:t>震荡</w:t>
            </w:r>
            <w:r w:rsidR="00A56612">
              <w:rPr>
                <w:rFonts w:ascii="宋体" w:hAnsi="宋体" w:hint="eastAsia"/>
                <w:color w:val="000000"/>
                <w:szCs w:val="21"/>
              </w:rPr>
              <w:t>偏多</w:t>
            </w:r>
          </w:p>
        </w:tc>
        <w:tc>
          <w:tcPr>
            <w:tcW w:w="7380" w:type="dxa"/>
            <w:vMerge/>
          </w:tcPr>
          <w:p w:rsidR="00CF6558" w:rsidRDefault="00CF6558">
            <w:pPr>
              <w:rPr>
                <w:rFonts w:ascii="宋体" w:hAnsi="宋体" w:cs="宋体"/>
                <w:kern w:val="0"/>
                <w:sz w:val="18"/>
                <w:szCs w:val="18"/>
              </w:rPr>
            </w:pPr>
          </w:p>
        </w:tc>
      </w:tr>
      <w:tr w:rsidR="00CF6558">
        <w:trPr>
          <w:trHeight w:val="84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653621">
            <w:pPr>
              <w:jc w:val="center"/>
              <w:rPr>
                <w:rFonts w:ascii="宋体" w:hAnsi="宋体"/>
                <w:color w:val="000000"/>
                <w:szCs w:val="21"/>
              </w:rPr>
            </w:pPr>
            <w:r>
              <w:rPr>
                <w:rFonts w:ascii="宋体" w:hAnsi="宋体" w:hint="eastAsia"/>
                <w:color w:val="000000"/>
                <w:szCs w:val="21"/>
              </w:rPr>
              <w:t>震荡</w:t>
            </w:r>
            <w:r w:rsidR="00A56612">
              <w:rPr>
                <w:rFonts w:ascii="宋体" w:hAnsi="宋体" w:hint="eastAsia"/>
                <w:color w:val="000000"/>
                <w:szCs w:val="21"/>
              </w:rPr>
              <w:t>偏多</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653621">
            <w:pPr>
              <w:jc w:val="center"/>
            </w:pPr>
            <w:r>
              <w:rPr>
                <w:rFonts w:ascii="宋体" w:hAnsi="宋体" w:hint="eastAsia"/>
                <w:color w:val="000000"/>
                <w:szCs w:val="21"/>
              </w:rPr>
              <w:t>震荡</w:t>
            </w:r>
            <w:r w:rsidR="00A56612">
              <w:rPr>
                <w:rFonts w:ascii="宋体" w:hAnsi="宋体" w:hint="eastAsia"/>
                <w:color w:val="000000"/>
                <w:szCs w:val="21"/>
              </w:rPr>
              <w:t>偏多</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62"/>
          <w:jc w:val="center"/>
        </w:trPr>
        <w:tc>
          <w:tcPr>
            <w:tcW w:w="630" w:type="dxa"/>
            <w:vMerge w:val="restart"/>
            <w:vAlign w:val="center"/>
          </w:tcPr>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能源化工品</w:t>
            </w:r>
          </w:p>
        </w:tc>
        <w:tc>
          <w:tcPr>
            <w:tcW w:w="924" w:type="dxa"/>
            <w:vAlign w:val="center"/>
          </w:tcPr>
          <w:p w:rsidR="00CF6558" w:rsidRDefault="00653621">
            <w:pPr>
              <w:jc w:val="center"/>
              <w:rPr>
                <w:rFonts w:ascii="宋体" w:hAnsi="宋体"/>
                <w:szCs w:val="21"/>
              </w:rPr>
            </w:pPr>
            <w:r>
              <w:rPr>
                <w:rFonts w:ascii="宋体" w:hAnsi="宋体" w:hint="eastAsia"/>
                <w:szCs w:val="21"/>
              </w:rPr>
              <w:t>PTA</w:t>
            </w:r>
          </w:p>
        </w:tc>
        <w:tc>
          <w:tcPr>
            <w:tcW w:w="1123" w:type="dxa"/>
            <w:vAlign w:val="center"/>
          </w:tcPr>
          <w:p w:rsidR="00CF6558" w:rsidRDefault="00653621">
            <w:pPr>
              <w:jc w:val="center"/>
              <w:rPr>
                <w:rFonts w:ascii="宋体" w:hAnsi="宋体"/>
                <w:kern w:val="0"/>
                <w:szCs w:val="21"/>
              </w:rPr>
            </w:pPr>
            <w:r>
              <w:t>震荡</w:t>
            </w:r>
          </w:p>
        </w:tc>
        <w:tc>
          <w:tcPr>
            <w:tcW w:w="7380" w:type="dxa"/>
            <w:vMerge w:val="restart"/>
          </w:tcPr>
          <w:p w:rsidR="009F3CDD" w:rsidRPr="009F3CDD" w:rsidRDefault="00653621" w:rsidP="009F3CDD">
            <w:pPr>
              <w:widowControl/>
              <w:jc w:val="left"/>
              <w:rPr>
                <w:rFonts w:ascii="宋体" w:hAnsi="宋体" w:cs="宋体" w:hint="eastAsia"/>
                <w:sz w:val="18"/>
                <w:szCs w:val="18"/>
              </w:rPr>
            </w:pPr>
            <w:r>
              <w:rPr>
                <w:rFonts w:ascii="宋体" w:hAnsi="宋体" w:cs="宋体" w:hint="eastAsia"/>
                <w:b/>
                <w:bCs/>
                <w:sz w:val="18"/>
                <w:szCs w:val="18"/>
              </w:rPr>
              <w:t>原油：</w:t>
            </w:r>
            <w:r w:rsidR="009F3CDD" w:rsidRPr="009F3CDD">
              <w:rPr>
                <w:rFonts w:ascii="宋体" w:hAnsi="宋体" w:cs="宋体" w:hint="eastAsia"/>
                <w:sz w:val="18"/>
                <w:szCs w:val="18"/>
              </w:rPr>
              <w:t>欧美夏季出行高峰到来 EIA库存大降  沪油尾盘高位回落</w:t>
            </w:r>
          </w:p>
          <w:p w:rsidR="009F3CDD" w:rsidRPr="009F3CDD" w:rsidRDefault="009F3CDD" w:rsidP="009F3CDD">
            <w:pPr>
              <w:widowControl/>
              <w:jc w:val="left"/>
              <w:rPr>
                <w:rFonts w:ascii="宋体" w:hAnsi="宋体" w:cs="宋体" w:hint="eastAsia"/>
                <w:sz w:val="18"/>
                <w:szCs w:val="18"/>
              </w:rPr>
            </w:pPr>
            <w:r w:rsidRPr="009F3CDD">
              <w:rPr>
                <w:rFonts w:ascii="宋体" w:hAnsi="宋体" w:cs="宋体" w:hint="eastAsia"/>
                <w:sz w:val="18"/>
                <w:szCs w:val="18"/>
              </w:rPr>
              <w:t>如果在二季度剩余的时间内，欧洲疫情持续回落、亚太地区疫情（印度与日本）得到有效控制、中东地区形势持续紧张，则国际原油价格将回升至65-70美元的价格区间，沪原油价格将在回调后站稳400-420元的价格区间。</w:t>
            </w:r>
          </w:p>
          <w:p w:rsidR="00CF6558" w:rsidRDefault="009F3CDD" w:rsidP="009F3CDD">
            <w:pPr>
              <w:widowControl/>
              <w:jc w:val="left"/>
              <w:rPr>
                <w:rFonts w:ascii="宋体" w:hAnsi="宋体" w:cs="宋体"/>
                <w:sz w:val="18"/>
                <w:szCs w:val="18"/>
              </w:rPr>
            </w:pPr>
            <w:r w:rsidRPr="009F3CDD">
              <w:rPr>
                <w:rFonts w:ascii="宋体" w:hAnsi="宋体" w:cs="宋体" w:hint="eastAsia"/>
                <w:sz w:val="18"/>
                <w:szCs w:val="18"/>
              </w:rPr>
              <w:t>关注情反弹下的全球经济前景、全球原油供需前景、中国经济的复苏前景、中东地缘形势、OPEC+会议、美国炼油厂产能恢复情况</w:t>
            </w:r>
            <w:r>
              <w:rPr>
                <w:rFonts w:ascii="宋体" w:hAnsi="宋体" w:cs="宋体" w:hint="eastAsia"/>
                <w:sz w:val="18"/>
                <w:szCs w:val="18"/>
              </w:rPr>
              <w:t>。</w:t>
            </w:r>
          </w:p>
        </w:tc>
      </w:tr>
      <w:tr w:rsidR="00CF6558" w:rsidTr="009F3CDD">
        <w:trPr>
          <w:trHeight w:val="401"/>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EG</w:t>
            </w:r>
          </w:p>
        </w:tc>
        <w:tc>
          <w:tcPr>
            <w:tcW w:w="1123" w:type="dxa"/>
            <w:vAlign w:val="center"/>
          </w:tcPr>
          <w:p w:rsidR="00CF6558" w:rsidRDefault="00653621">
            <w:pPr>
              <w:jc w:val="center"/>
              <w:rPr>
                <w:rFonts w:ascii="宋体" w:hAnsi="宋体"/>
                <w:szCs w:val="21"/>
              </w:rPr>
            </w:pPr>
            <w:r>
              <w:t>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5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原油</w:t>
            </w:r>
          </w:p>
        </w:tc>
        <w:tc>
          <w:tcPr>
            <w:tcW w:w="1123" w:type="dxa"/>
            <w:vAlign w:val="center"/>
          </w:tcPr>
          <w:p w:rsidR="00CF6558" w:rsidRDefault="00653621">
            <w:pPr>
              <w:jc w:val="center"/>
            </w:pPr>
            <w:r>
              <w:rPr>
                <w:rFonts w:hint="eastAsia"/>
              </w:rPr>
              <w:t>短线空单持有</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628"/>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r>
              <w:rPr>
                <w:rFonts w:ascii="宋体" w:hAnsi="宋体" w:hint="eastAsia"/>
                <w:b/>
                <w:sz w:val="24"/>
                <w:szCs w:val="21"/>
              </w:rPr>
              <w:t>软商品</w:t>
            </w:r>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53621">
            <w:pPr>
              <w:jc w:val="center"/>
            </w:pPr>
            <w:r>
              <w:rPr>
                <w:rFonts w:hint="eastAsia"/>
              </w:rPr>
              <w:t>短期调整</w:t>
            </w:r>
          </w:p>
        </w:tc>
        <w:tc>
          <w:tcPr>
            <w:tcW w:w="7380" w:type="dxa"/>
            <w:vMerge w:val="restart"/>
            <w:vAlign w:val="center"/>
          </w:tcPr>
          <w:p w:rsidR="00CF6558" w:rsidRDefault="00653621">
            <w:pPr>
              <w:rPr>
                <w:rFonts w:ascii="宋体" w:hAnsi="宋体" w:cs="宋体"/>
                <w:bCs/>
                <w:sz w:val="18"/>
                <w:szCs w:val="18"/>
              </w:rPr>
            </w:pPr>
            <w:r>
              <w:rPr>
                <w:rFonts w:ascii="宋体" w:hAnsi="宋体" w:cs="宋体" w:hint="eastAsia"/>
                <w:b/>
                <w:sz w:val="18"/>
                <w:szCs w:val="18"/>
              </w:rPr>
              <w:t>棉花：</w:t>
            </w:r>
            <w:r>
              <w:rPr>
                <w:rFonts w:ascii="宋体" w:hAnsi="宋体" w:cs="宋体" w:hint="eastAsia"/>
                <w:bCs/>
                <w:sz w:val="18"/>
                <w:szCs w:val="18"/>
              </w:rPr>
              <w:t>国内外棉价在接近整数位时都出现了调整，关于天气的炒作暂时降温。</w:t>
            </w:r>
          </w:p>
          <w:p w:rsidR="00CF6558" w:rsidRDefault="00653621">
            <w:pPr>
              <w:rPr>
                <w:rFonts w:ascii="宋体" w:hAnsi="宋体" w:cs="宋体"/>
                <w:bCs/>
                <w:sz w:val="18"/>
                <w:szCs w:val="18"/>
              </w:rPr>
            </w:pPr>
            <w:r>
              <w:rPr>
                <w:rFonts w:ascii="宋体" w:hAnsi="宋体" w:cs="宋体" w:hint="eastAsia"/>
                <w:bCs/>
                <w:sz w:val="18"/>
                <w:szCs w:val="18"/>
              </w:rPr>
              <w:t>从调查来看，今年3、4月份新疆天气灾害相较2019、2020年并不算严重，后期补种、加强田间管理可以弥补前期的损失。此外随着政策性进口港口库存可能进一步增加。</w:t>
            </w:r>
          </w:p>
          <w:p w:rsidR="00CF6558" w:rsidRDefault="00653621">
            <w:pPr>
              <w:rPr>
                <w:rFonts w:ascii="宋体" w:hAnsi="宋体" w:cs="宋体"/>
                <w:sz w:val="18"/>
                <w:szCs w:val="18"/>
              </w:rPr>
            </w:pPr>
            <w:r>
              <w:rPr>
                <w:rFonts w:ascii="宋体" w:hAnsi="宋体" w:cs="宋体" w:hint="eastAsia"/>
                <w:bCs/>
                <w:sz w:val="18"/>
                <w:szCs w:val="18"/>
              </w:rPr>
              <w:t>国内下游纺企总体表现较好，当前刚需采购为主，采购未放量但刚需采购氛围继续好转。美国得州降雨量在5月将继续低于正常水平，后市仍会给盘面带来向上动力</w:t>
            </w:r>
            <w:r>
              <w:rPr>
                <w:rFonts w:ascii="宋体" w:hAnsi="宋体" w:cs="宋体" w:hint="eastAsia"/>
                <w:sz w:val="18"/>
                <w:szCs w:val="18"/>
              </w:rPr>
              <w:t>。</w:t>
            </w:r>
          </w:p>
          <w:p w:rsidR="00CF6558" w:rsidRDefault="00653621">
            <w:pPr>
              <w:rPr>
                <w:rFonts w:ascii="宋体" w:hAnsi="宋体" w:cs="宋体"/>
                <w:sz w:val="18"/>
                <w:szCs w:val="18"/>
              </w:rPr>
            </w:pPr>
            <w:r>
              <w:rPr>
                <w:rFonts w:ascii="宋体" w:hAnsi="宋体" w:cs="宋体" w:hint="eastAsia"/>
                <w:b/>
                <w:bCs/>
                <w:sz w:val="18"/>
                <w:szCs w:val="18"/>
              </w:rPr>
              <w:t>橡胶：</w:t>
            </w:r>
            <w:r>
              <w:rPr>
                <w:rFonts w:ascii="宋体" w:hAnsi="宋体" w:cs="宋体" w:hint="eastAsia"/>
                <w:sz w:val="18"/>
                <w:szCs w:val="18"/>
              </w:rPr>
              <w:t>沪胶小幅上扬，维持偏强的震荡格局。</w:t>
            </w:r>
          </w:p>
          <w:p w:rsidR="00CF6558" w:rsidRDefault="00653621">
            <w:pPr>
              <w:rPr>
                <w:rFonts w:ascii="宋体" w:hAnsi="宋体" w:cs="宋体"/>
                <w:sz w:val="18"/>
                <w:szCs w:val="18"/>
              </w:rPr>
            </w:pPr>
            <w:r>
              <w:rPr>
                <w:rFonts w:ascii="宋体" w:hAnsi="宋体" w:cs="宋体" w:hint="eastAsia"/>
                <w:sz w:val="18"/>
                <w:szCs w:val="18"/>
              </w:rPr>
              <w:t>目前橡胶呈现供需两弱的格局：需求端口处于季节性淡季，近期受环保等影响，全钢胎和半钢胎开工率有所下滑，下游轮胎、汽车业的表现有环比走弱的担忧，对价格存在一定制约；国内港口库存延续下降趋势，云南版纳地区开割率整体仍偏低，胶水产出少，加工厂之间原料争夺明显，新胶不能上量入库给胶市提供了偏多的氛围，这种市况可能延续到6月主产区产量释放。</w:t>
            </w:r>
          </w:p>
        </w:tc>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pPr>
              <w:jc w:val="center"/>
            </w:pPr>
            <w:r>
              <w:rPr>
                <w:rFonts w:hint="eastAsia"/>
              </w:rPr>
              <w:t>震荡向上</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D91E6E">
            <w:pPr>
              <w:spacing w:line="276" w:lineRule="auto"/>
              <w:rPr>
                <w:rFonts w:ascii="宋体" w:hAnsi="宋体" w:cs="宋体"/>
                <w:sz w:val="18"/>
                <w:szCs w:val="18"/>
              </w:rPr>
            </w:pPr>
            <w:r w:rsidRPr="00D91E6E">
              <w:rPr>
                <w:rFonts w:ascii="宋体" w:hAnsi="宋体" w:cs="宋体" w:hint="eastAsia"/>
                <w:sz w:val="18"/>
                <w:szCs w:val="18"/>
              </w:rPr>
              <w:t>沪深 300 股指下跌0.79%，上证 50 股指下跌0.74%，中证 500 股指下跌0.1%。疫苗、医美板块资金流入，教育、煤炭等板块资金流出，北向资金净买入额为-16.12亿元。欧洲股市纷纷上涨，美国标普股指反弹。国内货币市场FR007反弹6bps，SHIBOR3M持平。股票指数波动率窄幅回落， CBOE VIX 反弹，CBOE 中国 ETF 波动率反弹。三大股指期货主力合约基差窄幅震荡，三大股指期货主力合约基差为正值。耶伦淡化加息言论，海外权益市场稳定，黄金周假期成绩单优异，需求活跃，建议股指多头继续持有。</w:t>
            </w:r>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3"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D91E6E" w:rsidRPr="00D91E6E" w:rsidRDefault="00D91E6E" w:rsidP="00D91E6E">
            <w:pPr>
              <w:widowControl/>
              <w:shd w:val="clear" w:color="auto" w:fill="FEFFFF"/>
              <w:rPr>
                <w:rFonts w:ascii="宋体" w:hAnsi="宋体" w:cs="宋体" w:hint="eastAsia"/>
                <w:sz w:val="18"/>
                <w:szCs w:val="18"/>
              </w:rPr>
            </w:pPr>
            <w:r w:rsidRPr="00D91E6E">
              <w:rPr>
                <w:rFonts w:ascii="宋体" w:hAnsi="宋体" w:cs="宋体" w:hint="eastAsia"/>
                <w:sz w:val="18"/>
                <w:szCs w:val="18"/>
              </w:rPr>
              <w:t>1、文化和旅游部数据中心测算，今年“五一”假期，全国国内旅游出游2.3亿人次，同比增长119.7%，按可比口径恢复至疫前同期的103.2%；实现国内旅游收入1132.3亿元，同比增长138.1%，按可比口径恢复至疫前同期的77.0%。交通运输部预计，“五一”假期共发送旅客2.67亿人次，日均5347.4万人次，比去年同期日均增长122.2%，比2019年同期日均增长0.3%。</w:t>
            </w:r>
          </w:p>
          <w:p w:rsidR="00D91E6E" w:rsidRPr="00D91E6E" w:rsidRDefault="00D91E6E" w:rsidP="00D91E6E">
            <w:pPr>
              <w:widowControl/>
              <w:shd w:val="clear" w:color="auto" w:fill="FEFFFF"/>
              <w:rPr>
                <w:rFonts w:ascii="宋体" w:hAnsi="宋体" w:cs="宋体" w:hint="eastAsia"/>
                <w:sz w:val="18"/>
                <w:szCs w:val="18"/>
              </w:rPr>
            </w:pPr>
            <w:r w:rsidRPr="00D91E6E">
              <w:rPr>
                <w:rFonts w:ascii="宋体" w:hAnsi="宋体" w:cs="宋体" w:hint="eastAsia"/>
                <w:sz w:val="18"/>
                <w:szCs w:val="18"/>
              </w:rPr>
              <w:t>2、广东省文化和旅游厅发布2021年“五一”假期成绩单：经初步测算，2021年五一假期五天广东省共接待游客4278.1万人次，同比增长129.8%，较2019年同期增长11.6%，收入265.2亿元，同比增长156.0%，较2019年同期增长13.7%。</w:t>
            </w:r>
          </w:p>
          <w:p w:rsidR="00D91E6E" w:rsidRPr="00D91E6E" w:rsidRDefault="00D91E6E" w:rsidP="00D91E6E">
            <w:pPr>
              <w:widowControl/>
              <w:shd w:val="clear" w:color="auto" w:fill="FEFFFF"/>
              <w:rPr>
                <w:rFonts w:ascii="宋体" w:hAnsi="宋体" w:cs="宋体" w:hint="eastAsia"/>
                <w:sz w:val="18"/>
                <w:szCs w:val="18"/>
              </w:rPr>
            </w:pPr>
            <w:r w:rsidRPr="00D91E6E">
              <w:rPr>
                <w:rFonts w:ascii="宋体" w:hAnsi="宋体" w:cs="宋体" w:hint="eastAsia"/>
                <w:sz w:val="18"/>
                <w:szCs w:val="18"/>
              </w:rPr>
              <w:t>3、今年一季度，海南实际利用外资和新设立外商投资企业均实现数倍增长，共有66个国家和地区在海南省新设外资企业。今年一季度全省新设立外商投资企业419家，同比增长525.37%；实际利用外资5.558亿美元，同比增长432.98%。</w:t>
            </w:r>
          </w:p>
          <w:p w:rsidR="00D91E6E" w:rsidRPr="00D91E6E" w:rsidRDefault="00D91E6E" w:rsidP="00D91E6E">
            <w:pPr>
              <w:widowControl/>
              <w:shd w:val="clear" w:color="auto" w:fill="FEFFFF"/>
              <w:rPr>
                <w:rFonts w:ascii="宋体" w:hAnsi="宋体" w:cs="宋体" w:hint="eastAsia"/>
                <w:sz w:val="18"/>
                <w:szCs w:val="18"/>
              </w:rPr>
            </w:pPr>
            <w:r w:rsidRPr="00D91E6E">
              <w:rPr>
                <w:rFonts w:ascii="宋体" w:hAnsi="宋体" w:cs="宋体" w:hint="eastAsia"/>
                <w:sz w:val="18"/>
                <w:szCs w:val="18"/>
              </w:rPr>
              <w:t>4、央行副行长刘桂平近日表示，央行将立足于强化金融支持绿色低碳发展的资源配置、风险管理、市场定价三大功能，会同相关部门大力推动绿色金融改革创新试验区建设。</w:t>
            </w:r>
          </w:p>
          <w:p w:rsidR="00D91E6E" w:rsidRPr="00D91E6E" w:rsidRDefault="00D91E6E" w:rsidP="00D91E6E">
            <w:pPr>
              <w:widowControl/>
              <w:shd w:val="clear" w:color="auto" w:fill="FEFFFF"/>
              <w:rPr>
                <w:rFonts w:ascii="宋体" w:hAnsi="宋体" w:cs="宋体" w:hint="eastAsia"/>
                <w:sz w:val="18"/>
                <w:szCs w:val="18"/>
              </w:rPr>
            </w:pPr>
            <w:r w:rsidRPr="00D91E6E">
              <w:rPr>
                <w:rFonts w:ascii="宋体" w:hAnsi="宋体" w:cs="宋体" w:hint="eastAsia"/>
                <w:sz w:val="18"/>
                <w:szCs w:val="18"/>
              </w:rPr>
              <w:t>5、香港万得通讯社报道，周三欧美股市涨跌不一，道指收涨0.29%，再创历史新高；标普500指数涨0.07%，纳指跌0.37%。欧股则全线收涨，英国富时100指数涨1.68%，创2月中旬以来的最大单日涨幅。科技股涨跌不一，苹果涨0.2%，特斯拉跌0.39%。耶伦澄清加息的言论，市场风险情绪回暖。</w:t>
            </w:r>
          </w:p>
          <w:p w:rsidR="00D91E6E" w:rsidRPr="00D91E6E" w:rsidRDefault="00D91E6E" w:rsidP="00D91E6E">
            <w:pPr>
              <w:widowControl/>
              <w:shd w:val="clear" w:color="auto" w:fill="FEFFFF"/>
              <w:rPr>
                <w:rFonts w:ascii="宋体" w:hAnsi="宋体" w:cs="宋体" w:hint="eastAsia"/>
                <w:sz w:val="18"/>
                <w:szCs w:val="18"/>
              </w:rPr>
            </w:pPr>
            <w:r w:rsidRPr="00D91E6E">
              <w:rPr>
                <w:rFonts w:ascii="宋体" w:hAnsi="宋体" w:cs="宋体" w:hint="eastAsia"/>
                <w:sz w:val="18"/>
                <w:szCs w:val="18"/>
              </w:rPr>
              <w:lastRenderedPageBreak/>
              <w:t xml:space="preserve">6、热门中概股多数下跌，小赢科技跌9.43%，洪恩教育跌7.15%，亿航智能跌5.51%，趣店跌5.1%，CBAK能源科技有限公司跌5%。涨幅方面，秦淮数据涨5.9%，兰亭集势涨5.03%，优点互动涨4.6%，前程无忧涨3.97%，中石油涨3.73%。新能源汽车股全线走低，蔚来汽车跌0.61%，小鹏汽车跌3.38%，理想汽车跌3.09%。 </w:t>
            </w:r>
          </w:p>
          <w:p w:rsidR="00CF6558" w:rsidRDefault="00D91E6E" w:rsidP="00D91E6E">
            <w:pPr>
              <w:widowControl/>
              <w:shd w:val="clear" w:color="auto" w:fill="FEFFFF"/>
            </w:pPr>
            <w:r w:rsidRPr="00D91E6E">
              <w:rPr>
                <w:rFonts w:ascii="宋体" w:hAnsi="宋体" w:cs="宋体" w:hint="eastAsia"/>
                <w:sz w:val="18"/>
                <w:szCs w:val="18"/>
              </w:rPr>
              <w:t>7、耶伦的“加息”言论一度引发市场恐慌，不过周二美股收盘后，耶伦马上“澄清”指出，她“不是预测或推荐美联储加息”，并对美联储的独立性表示赞赏，认为通胀不会成为一个重大问题。耶伦澄清加息的言论似乎是周三风险情绪回暖的主要原因。</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lastRenderedPageBreak/>
              <w:t>黑色产业链</w:t>
            </w:r>
          </w:p>
        </w:tc>
      </w:tr>
      <w:tr w:rsidR="00CF6558">
        <w:trPr>
          <w:trHeight w:val="691"/>
        </w:trPr>
        <w:tc>
          <w:tcPr>
            <w:tcW w:w="10100" w:type="dxa"/>
          </w:tcPr>
          <w:p w:rsidR="009F3CDD" w:rsidRDefault="00A56612" w:rsidP="00A56612">
            <w:pPr>
              <w:widowControl/>
              <w:shd w:val="clear" w:color="auto" w:fill="FEFFFF"/>
              <w:rPr>
                <w:rFonts w:ascii="宋体" w:hAnsi="宋体" w:cs="宋体"/>
                <w:sz w:val="18"/>
                <w:szCs w:val="18"/>
              </w:rPr>
            </w:pPr>
            <w:r w:rsidRPr="00A56612">
              <w:rPr>
                <w:rFonts w:ascii="宋体" w:hAnsi="宋体" w:cs="宋体" w:hint="eastAsia"/>
                <w:sz w:val="18"/>
                <w:szCs w:val="18"/>
              </w:rPr>
              <w:t>1、</w:t>
            </w:r>
            <w:r w:rsidR="009F3CDD" w:rsidRPr="009F3CDD">
              <w:rPr>
                <w:rFonts w:ascii="宋体" w:hAnsi="宋体" w:cs="宋体" w:hint="eastAsia"/>
                <w:sz w:val="18"/>
                <w:szCs w:val="18"/>
              </w:rPr>
              <w:t>6日，国家发展改革委决定，自即日起，无限期暂停国家发展改革委与澳联邦政府相关部门共同牵头的中澳战略经济对话机制下一切活动。</w:t>
            </w:r>
          </w:p>
          <w:p w:rsidR="009F3CDD" w:rsidRDefault="00A56612" w:rsidP="00A56612">
            <w:pPr>
              <w:widowControl/>
              <w:shd w:val="clear" w:color="auto" w:fill="FEFFFF"/>
              <w:rPr>
                <w:rFonts w:ascii="宋体" w:hAnsi="宋体" w:cs="宋体"/>
                <w:sz w:val="18"/>
                <w:szCs w:val="18"/>
              </w:rPr>
            </w:pPr>
            <w:r w:rsidRPr="00A56612">
              <w:rPr>
                <w:rFonts w:ascii="宋体" w:hAnsi="宋体" w:cs="宋体" w:hint="eastAsia"/>
                <w:sz w:val="18"/>
                <w:szCs w:val="18"/>
              </w:rPr>
              <w:t>2、</w:t>
            </w:r>
            <w:r w:rsidR="009F3CDD" w:rsidRPr="009F3CDD">
              <w:rPr>
                <w:rFonts w:ascii="宋体" w:hAnsi="宋体" w:cs="宋体" w:hint="eastAsia"/>
                <w:sz w:val="18"/>
                <w:szCs w:val="18"/>
              </w:rPr>
              <w:t>4月26日-5月2日，Mysteel新口径澳大利亚巴西铁矿发运总量2451.6万吨，环比减少21.6万吨；澳大利亚发货总量1726万吨，环比减少222万吨；其中澳大利亚发往中国量1512万吨，环比增加19万吨；巴西发货总量725.6万吨，环比增加200.4万吨。</w:t>
            </w:r>
          </w:p>
          <w:p w:rsidR="00A56612" w:rsidRPr="00A56612" w:rsidRDefault="009F3CDD" w:rsidP="00A56612">
            <w:pPr>
              <w:widowControl/>
              <w:shd w:val="clear" w:color="auto" w:fill="FEFFFF"/>
              <w:rPr>
                <w:rFonts w:ascii="宋体" w:hAnsi="宋体" w:cs="宋体"/>
                <w:sz w:val="18"/>
                <w:szCs w:val="18"/>
              </w:rPr>
            </w:pPr>
            <w:r>
              <w:rPr>
                <w:rFonts w:ascii="宋体" w:hAnsi="宋体" w:cs="宋体" w:hint="eastAsia"/>
                <w:sz w:val="18"/>
                <w:szCs w:val="18"/>
              </w:rPr>
              <w:t>3</w:t>
            </w:r>
            <w:r w:rsidR="00A56612" w:rsidRPr="00A56612">
              <w:rPr>
                <w:rFonts w:ascii="宋体" w:hAnsi="宋体" w:cs="宋体" w:hint="eastAsia"/>
                <w:sz w:val="18"/>
                <w:szCs w:val="18"/>
              </w:rPr>
              <w:t>、</w:t>
            </w:r>
            <w:r w:rsidRPr="009F3CDD">
              <w:rPr>
                <w:rFonts w:ascii="宋体" w:hAnsi="宋体" w:cs="宋体" w:hint="eastAsia"/>
                <w:sz w:val="18"/>
                <w:szCs w:val="18"/>
              </w:rPr>
              <w:t>本周，唐山地区126座高炉中有63座检修（不含长期停产），检修高炉容积合计52704m³；周影响产量约110.39万吨，产能利用率61.29%，较节前（4月28日）下降0.52%，较上月同期上升3.46%，较去年同期下降21.60%。</w:t>
            </w:r>
          </w:p>
          <w:p w:rsidR="00A56612" w:rsidRPr="00A56612" w:rsidRDefault="009F3CDD" w:rsidP="00A56612">
            <w:pPr>
              <w:widowControl/>
              <w:shd w:val="clear" w:color="auto" w:fill="FEFFFF"/>
              <w:rPr>
                <w:rFonts w:ascii="宋体" w:hAnsi="宋体" w:cs="宋体"/>
                <w:sz w:val="18"/>
                <w:szCs w:val="18"/>
              </w:rPr>
            </w:pPr>
            <w:r>
              <w:rPr>
                <w:rFonts w:ascii="宋体" w:hAnsi="宋体" w:cs="宋体"/>
                <w:sz w:val="18"/>
                <w:szCs w:val="18"/>
              </w:rPr>
              <w:t>4</w:t>
            </w:r>
            <w:r w:rsidR="00A56612" w:rsidRPr="00A56612">
              <w:rPr>
                <w:rFonts w:ascii="宋体" w:hAnsi="宋体" w:cs="宋体" w:hint="eastAsia"/>
                <w:sz w:val="18"/>
                <w:szCs w:val="18"/>
              </w:rPr>
              <w:t>、</w:t>
            </w:r>
            <w:r w:rsidRPr="009F3CDD">
              <w:rPr>
                <w:rFonts w:ascii="宋体" w:hAnsi="宋体" w:cs="宋体" w:hint="eastAsia"/>
                <w:sz w:val="18"/>
                <w:szCs w:val="18"/>
              </w:rPr>
              <w:t>本周，五大钢材品种钢材产量1092.12万吨，周环比增加12.47万吨；表观消费量1092.09万吨，周环比下降120.02万吨。钢材总库存量2269.37万吨，周环比增加0.03万吨，其中，钢厂库存量648.62万吨，周环比增加4.2万吨；钢材社会库存量1620.75万吨，周环比减少4.17万吨。</w:t>
            </w:r>
          </w:p>
          <w:p w:rsidR="00CF6558" w:rsidRDefault="009F3CDD" w:rsidP="00A56612">
            <w:pPr>
              <w:widowControl/>
              <w:shd w:val="clear" w:color="auto" w:fill="FEFFFF"/>
              <w:rPr>
                <w:rFonts w:ascii="宋体" w:hAnsi="宋体"/>
                <w:szCs w:val="21"/>
              </w:rPr>
            </w:pPr>
            <w:r>
              <w:rPr>
                <w:rFonts w:ascii="宋体" w:hAnsi="宋体" w:cs="宋体"/>
                <w:sz w:val="18"/>
                <w:szCs w:val="18"/>
              </w:rPr>
              <w:t>5</w:t>
            </w:r>
            <w:r w:rsidR="00A56612" w:rsidRPr="00A56612">
              <w:rPr>
                <w:rFonts w:ascii="宋体" w:hAnsi="宋体" w:cs="宋体" w:hint="eastAsia"/>
                <w:sz w:val="18"/>
                <w:szCs w:val="18"/>
              </w:rPr>
              <w:t>、</w:t>
            </w:r>
            <w:r w:rsidRPr="009F3CDD">
              <w:rPr>
                <w:rFonts w:ascii="宋体" w:hAnsi="宋体" w:cs="宋体" w:hint="eastAsia"/>
                <w:sz w:val="18"/>
                <w:szCs w:val="18"/>
              </w:rPr>
              <w:t>工信部印发修订后的钢铁行业产能置换实施办法，自6月1日起施行。新版《办法》的主要变化包括了扩大大气污染防治重点区域和产能总量控制范围；大幅提高产能置换比例，大气污染防治重点区域置换比例不低于1.5:1；未完成钢铁产能总量控制目标的省（区、市），不得接受其他地区出让的钢铁产能；进一步支持电弧炉短流程炼钢工艺等。</w:t>
            </w:r>
          </w:p>
        </w:tc>
      </w:tr>
      <w:tr w:rsidR="00CF6558">
        <w:trPr>
          <w:trHeight w:val="90"/>
        </w:trPr>
        <w:tc>
          <w:tcPr>
            <w:tcW w:w="10100" w:type="dxa"/>
          </w:tcPr>
          <w:p w:rsidR="00CF6558" w:rsidRDefault="00653621">
            <w:pPr>
              <w:spacing w:line="340" w:lineRule="exact"/>
              <w:ind w:left="-45"/>
              <w:jc w:val="center"/>
            </w:pPr>
            <w:r>
              <w:rPr>
                <w:rFonts w:hint="eastAsia"/>
              </w:rPr>
              <w:t>有色产业链</w:t>
            </w:r>
          </w:p>
        </w:tc>
      </w:tr>
      <w:tr w:rsidR="00CF6558">
        <w:trPr>
          <w:trHeight w:val="90"/>
        </w:trPr>
        <w:tc>
          <w:tcPr>
            <w:tcW w:w="10100" w:type="dxa"/>
          </w:tcPr>
          <w:p w:rsidR="009F3CDD" w:rsidRPr="009F3CDD" w:rsidRDefault="009F3CDD" w:rsidP="009F3CDD">
            <w:pPr>
              <w:spacing w:line="340" w:lineRule="exact"/>
              <w:jc w:val="left"/>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1、南方电网海南电网公司近日发布海南“碳达峰、碳中和”工作方案，提出在能源侧、消费侧、电网侧实施共5个方面、20条重点举措，明确“十四五”时期，推动实现海南光伏、海上风电等新增装机520万千瓦，清洁能源装机占比由2020年的67%提升至80%以上，清洁能源发电量占比由2020年的50%提升至70%以上。</w:t>
            </w:r>
          </w:p>
          <w:p w:rsidR="009F3CDD" w:rsidRPr="009F3CDD" w:rsidRDefault="009F3CDD" w:rsidP="009F3CDD">
            <w:pPr>
              <w:spacing w:line="340" w:lineRule="exact"/>
              <w:jc w:val="left"/>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2、5月1日，河南明晟新材料科技有限公司投产启动仪式在郑州新厂区隆重举行。从2020年10月1日动工到正式投产，仅用时7个月，再一次刷新了“明泰速度”。新投入使用的新厂区占地274亩，将主要生产超硬3C材料及军工、航空航天、汽车用铝生产项目产业基地，并搭建动力电池隔膜3C材料生产智能工厂。</w:t>
            </w:r>
          </w:p>
          <w:p w:rsidR="009F3CDD" w:rsidRPr="009F3CDD" w:rsidRDefault="009F3CDD" w:rsidP="009F3CDD">
            <w:pPr>
              <w:spacing w:line="340" w:lineRule="exact"/>
              <w:jc w:val="left"/>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3、据外媒报道，福特在5月5日对员工宣布，由于芯片短缺局面加剧，该公司将延长多座北美工厂的停工时间。最新受影响的工厂为位于维恩的密歇根装配厂，该工厂负责生产福特的皮卡车型，目前正在准备生产Bronco SUV。</w:t>
            </w:r>
          </w:p>
          <w:p w:rsidR="009F3CDD" w:rsidRPr="009F3CDD" w:rsidRDefault="009F3CDD" w:rsidP="009F3CDD">
            <w:pPr>
              <w:spacing w:line="340" w:lineRule="exact"/>
              <w:jc w:val="left"/>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4、据5月5日消息，罗平锌电发布公告称，公司富乐铅锌矿2021年5月2日12时10分左右，发生一起顶板脱落事故，导致一人受伤，后在救治途中死亡。随即公司将该事项上报至罗平县应急管理局。根据《安全生产法》、《安全生产事故报告和调查处理条例》等相关法律、法规规定，罗平县应急管理局向罗平锌电作出责令富乐铅锌矿立即停止生产的《停产通知》。</w:t>
            </w:r>
          </w:p>
          <w:p w:rsidR="009F3CDD" w:rsidRPr="009F3CDD" w:rsidRDefault="009F3CDD" w:rsidP="009F3CDD">
            <w:pPr>
              <w:spacing w:line="340" w:lineRule="exact"/>
              <w:jc w:val="left"/>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5、4月份全球铜冶炼活动从至少5年来的最低水平反弹，原因是价格上涨刺激更多活动。卫星服务公司SAVANT和经纪商Marex周三在一份联合声明中表示，4月上半月冶炼活动仍然疲弱，但当月剩余时间有所升温。</w:t>
            </w:r>
          </w:p>
          <w:p w:rsidR="009F3CDD" w:rsidRPr="009F3CDD" w:rsidRDefault="009F3CDD" w:rsidP="009F3CDD">
            <w:pPr>
              <w:spacing w:line="340" w:lineRule="exact"/>
              <w:jc w:val="left"/>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6、兴业矿业公告，西乌旗应急管理局对公司全资子公司银漫矿业选尾系统开展安全生产自查自纠验收和专项执法督查工作，根据专家组反馈意见，选矿厂、尾矿库具备复工复产条件，准予备案。收到上述通知后，银漫矿业选矿厂已于5月2日恢复生产。</w:t>
            </w:r>
          </w:p>
          <w:p w:rsidR="009F3CDD" w:rsidRPr="009F3CDD" w:rsidRDefault="009F3CDD" w:rsidP="009F3CDD">
            <w:pPr>
              <w:spacing w:line="340" w:lineRule="exact"/>
              <w:jc w:val="left"/>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7、美银证券近日发表全球金属行业报告表示，铜价近期抽升，相信行业基本面可支撑其上行空间。该行指，目前国际铜市场供应紧张，以吨计算的库存目前处于十五年前的水平，此味着库存仅能满足国际需求3.3周，因为</w:t>
            </w:r>
            <w:r w:rsidRPr="009F3CDD">
              <w:rPr>
                <w:rFonts w:ascii="宋体" w:hAnsi="宋体" w:cs="宋体" w:hint="eastAsia"/>
                <w:color w:val="333333"/>
                <w:spacing w:val="10"/>
                <w:sz w:val="18"/>
                <w:szCs w:val="18"/>
              </w:rPr>
              <w:lastRenderedPageBreak/>
              <w:t>全球经济才刚开始重新开放。该行估计国际铜市场在今明两年库存下滑，会呈逆差情况。该行估计红色金属价格有会上升至每吨1.3万美元，并估计铜市场至2023年及2024年将重新平衡。该行认为按行业基本面，可支持铜价。</w:t>
            </w:r>
          </w:p>
          <w:p w:rsidR="009F3CDD" w:rsidRPr="009F3CDD" w:rsidRDefault="009F3CDD" w:rsidP="009F3CDD">
            <w:pPr>
              <w:spacing w:line="340" w:lineRule="exact"/>
              <w:jc w:val="left"/>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8、政府统计机构INE表示，全球最大的铜生产商智利3月份的铜金属产量连续第三个月下降，这标志着在冠状病毒大流行袭击该国不久开始适度但持续的下滑。该机构称，3月份铜产量下降了1.3％，至491720吨，这与南半球对运输和商业的新限制相吻合。</w:t>
            </w:r>
          </w:p>
          <w:p w:rsidR="009F3CDD" w:rsidRPr="009F3CDD" w:rsidRDefault="009F3CDD" w:rsidP="009F3CDD">
            <w:pPr>
              <w:spacing w:line="340" w:lineRule="exact"/>
              <w:jc w:val="left"/>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9、力拓公司5月3日表示，其位于冰岛的ISAL冶炼厂已通过了铝管理计划（ASI）认证，符合负责任的铝生产的国际最高标准。</w:t>
            </w:r>
          </w:p>
          <w:p w:rsidR="009F3CDD" w:rsidRPr="009F3CDD" w:rsidRDefault="009F3CDD" w:rsidP="009F3CDD">
            <w:pPr>
              <w:spacing w:line="340" w:lineRule="exact"/>
              <w:jc w:val="left"/>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10、Tambang（Antam）5月3日表示，其2021年头三个月的镍矿石产量与去年同期相比增长了四倍以上。该公司在一份声明中称，第一季度Antam镍矿产量为264万吨，高于2020年同期的62.9万吨。与此同时，Antam公司第一季度的镍矿石销售量为160万吨。</w:t>
            </w:r>
          </w:p>
          <w:p w:rsidR="009F3CDD" w:rsidRPr="009F3CDD" w:rsidRDefault="009F3CDD" w:rsidP="009F3CDD">
            <w:pPr>
              <w:spacing w:line="340" w:lineRule="exact"/>
              <w:jc w:val="left"/>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10、加拿大艾芬豪矿业公司位于刚果民主共和国（DRC）的Kamoa-Kakula铜矿的首批铜精矿生产的目标日期提前了几个月，预计在5月底或6月初。预计第一阶段的铜产量约为20万吨/年，而第一阶段和第二阶段的合计产量预计为40万吨/年。</w:t>
            </w:r>
          </w:p>
          <w:p w:rsidR="009F3CDD" w:rsidRPr="009F3CDD" w:rsidRDefault="009F3CDD" w:rsidP="009F3CDD">
            <w:pPr>
              <w:spacing w:line="340" w:lineRule="exact"/>
              <w:jc w:val="left"/>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11、全球第三大锡生产商马来西亚冶炼公司（MSC）已告诉客户，其冶炼业务受到COVID-19大流行的严重影响，将需要九个月的时间才能恢复正常产量。该公司网站显示，其具备每年生产多达60,000吨锡的产能。MSC去年精炼锡产量为22,400吨，占去年全球供应量的7％。</w:t>
            </w:r>
          </w:p>
          <w:p w:rsidR="009F3CDD" w:rsidRPr="009F3CDD" w:rsidRDefault="009F3CDD" w:rsidP="009F3CDD">
            <w:pPr>
              <w:spacing w:line="340" w:lineRule="exact"/>
              <w:jc w:val="left"/>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12、国际铜业研究组织（ICSG）表示，2021年全球铜市料供应过剩79,000吨，2022年供应过剩109,000吨。</w:t>
            </w:r>
          </w:p>
          <w:p w:rsidR="0026279D" w:rsidRDefault="009F3CDD" w:rsidP="009F3CDD">
            <w:pPr>
              <w:spacing w:line="340" w:lineRule="exact"/>
              <w:jc w:val="left"/>
              <w:rPr>
                <w:rFonts w:ascii="宋体" w:hAnsi="宋体" w:cs="宋体"/>
                <w:color w:val="333333"/>
                <w:spacing w:val="10"/>
                <w:sz w:val="18"/>
                <w:szCs w:val="18"/>
              </w:rPr>
            </w:pPr>
            <w:r w:rsidRPr="009F3CDD">
              <w:rPr>
                <w:rFonts w:ascii="宋体" w:hAnsi="宋体" w:cs="宋体" w:hint="eastAsia"/>
                <w:color w:val="333333"/>
                <w:spacing w:val="10"/>
                <w:sz w:val="18"/>
                <w:szCs w:val="18"/>
              </w:rPr>
              <w:t>13、2021年5月1日下午，中瑞铝业一期铝电解系列首批槽正式通电成功，标志着中瑞铝业一期10万吨项目正式复产，同时拉开了中瑞铝业启动生产的帷幕，向中瑞项目全面投产迈出了关键的一步。公司表示，力争到6月底前完成120台电解槽全部启动工作，实现中瑞铝业一期10万吨项目全面达产。</w:t>
            </w:r>
          </w:p>
          <w:p w:rsidR="0026279D" w:rsidRDefault="0026279D">
            <w:pPr>
              <w:spacing w:line="340" w:lineRule="exact"/>
              <w:jc w:val="left"/>
              <w:rPr>
                <w:rFonts w:ascii="宋体" w:hAnsi="宋体" w:cs="宋体"/>
                <w:color w:val="333333"/>
                <w:spacing w:val="10"/>
                <w:sz w:val="18"/>
                <w:szCs w:val="18"/>
              </w:rPr>
            </w:pPr>
          </w:p>
        </w:tc>
      </w:tr>
      <w:tr w:rsidR="00CF6558">
        <w:trPr>
          <w:trHeight w:val="480"/>
        </w:trPr>
        <w:tc>
          <w:tcPr>
            <w:tcW w:w="10100" w:type="dxa"/>
          </w:tcPr>
          <w:p w:rsidR="00CF6558" w:rsidRDefault="00653621">
            <w:pPr>
              <w:spacing w:line="340" w:lineRule="exact"/>
              <w:ind w:left="-45"/>
              <w:jc w:val="center"/>
            </w:pPr>
            <w:r>
              <w:rPr>
                <w:rFonts w:hint="eastAsia"/>
              </w:rPr>
              <w:t>能源化工产业链</w:t>
            </w:r>
          </w:p>
        </w:tc>
      </w:tr>
      <w:tr w:rsidR="00CF6558">
        <w:trPr>
          <w:trHeight w:val="452"/>
        </w:trPr>
        <w:tc>
          <w:tcPr>
            <w:tcW w:w="10100" w:type="dxa"/>
          </w:tcPr>
          <w:p w:rsidR="009F3CDD" w:rsidRPr="009F3CDD" w:rsidRDefault="009F3CDD" w:rsidP="009F3CDD">
            <w:pPr>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1、日前，国家统计局能源统计司司长刘文华撰文指出，一季度，我国能源供需呈现恢复性增长态势，能源生产稳中向好，进口较快增长，供应保障能力不断增强。一季度，随着我国经济持续稳定恢复，能源供需呈现恢复性增长态势。原煤生产快速恢复，原油生产稳步增长，天然气生产增长加快，油气进口增加，电力生产快速回升。</w:t>
            </w:r>
          </w:p>
          <w:p w:rsidR="009F3CDD" w:rsidRPr="009F3CDD" w:rsidRDefault="009F3CDD" w:rsidP="009F3CDD">
            <w:pPr>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2、5月5日，石油分析师Tsvetana Paraskova撰文称，基金经理们表示，由于对经济强劲反弹和全球原油需求上升的预期，他们对今年油价有继续上涨的空间越来越有信心。虽然最近几周石油超级周的讨论有所平息，但高盛等投行仍看好石油和大宗商品，高盛预计油价今年夏季将触及每桶80美元。</w:t>
            </w:r>
          </w:p>
          <w:p w:rsidR="009F3CDD" w:rsidRPr="009F3CDD" w:rsidRDefault="009F3CDD" w:rsidP="009F3CDD">
            <w:pPr>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3、美国能源情报署(EIA)5月5日表示，上周美国原油库存降幅大于预期，因炼油产量和出口急升。</w:t>
            </w:r>
          </w:p>
          <w:p w:rsidR="009F3CDD" w:rsidRPr="009F3CDD" w:rsidRDefault="009F3CDD" w:rsidP="009F3CDD">
            <w:pPr>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4、美国石油协会(API)5月5日公布的数据显示，美国截至4月30日当周API原油库存减少768.8万桶，预期减少219.1万桶；汽油库存减少530.8万桶；精炼油库存减少345.3万桶；数据公布后，美油短线快速走高。</w:t>
            </w:r>
          </w:p>
          <w:p w:rsidR="009F3CDD" w:rsidRPr="009F3CDD" w:rsidRDefault="009F3CDD" w:rsidP="009F3CDD">
            <w:pPr>
              <w:rPr>
                <w:rFonts w:ascii="宋体" w:hAnsi="宋体" w:cs="宋体" w:hint="eastAsia"/>
                <w:color w:val="333333"/>
                <w:spacing w:val="10"/>
                <w:sz w:val="18"/>
                <w:szCs w:val="18"/>
              </w:rPr>
            </w:pPr>
            <w:r w:rsidRPr="009F3CDD">
              <w:rPr>
                <w:rFonts w:ascii="宋体" w:hAnsi="宋体" w:cs="宋体" w:hint="eastAsia"/>
                <w:color w:val="333333"/>
                <w:spacing w:val="10"/>
                <w:sz w:val="18"/>
                <w:szCs w:val="18"/>
              </w:rPr>
              <w:t>5、沙特将旗舰产品阿拉伯轻质原油6月销往亚洲的OSP设定为较阿曼/迪拜平均水平每桶高1.7美元，较5月下跌0.10美元，为去年12月以来首次降价。</w:t>
            </w:r>
          </w:p>
          <w:p w:rsidR="0026279D" w:rsidRPr="009F3CDD" w:rsidRDefault="009F3CDD" w:rsidP="009F3CDD">
            <w:pPr>
              <w:rPr>
                <w:rFonts w:ascii="宋体" w:hAnsi="宋体" w:cs="宋体"/>
                <w:color w:val="333333"/>
                <w:spacing w:val="10"/>
                <w:sz w:val="18"/>
                <w:szCs w:val="18"/>
              </w:rPr>
            </w:pPr>
            <w:r w:rsidRPr="009F3CDD">
              <w:rPr>
                <w:rFonts w:ascii="宋体" w:hAnsi="宋体" w:cs="宋体" w:hint="eastAsia"/>
                <w:color w:val="333333"/>
                <w:spacing w:val="10"/>
                <w:sz w:val="18"/>
                <w:szCs w:val="18"/>
              </w:rPr>
              <w:t>6、伊朗总统办公室消息，当地时间5日，伊朗总统鲁哈尼在内阁会议上表示，在近期维也纳召开的伊核问题相关会议上，显现出伊朗人民耐心和抵抗的结果，如果伊朗人民继续保持团结，制裁将很快被解除。</w:t>
            </w:r>
          </w:p>
        </w:tc>
      </w:tr>
      <w:tr w:rsidR="00CF6558">
        <w:trPr>
          <w:trHeight w:val="382"/>
        </w:trPr>
        <w:tc>
          <w:tcPr>
            <w:tcW w:w="10100" w:type="dxa"/>
          </w:tcPr>
          <w:p w:rsidR="00CF6558" w:rsidRPr="009F3CDD" w:rsidRDefault="00653621">
            <w:pPr>
              <w:pBdr>
                <w:top w:val="none" w:sz="0" w:space="0" w:color="000000"/>
                <w:left w:val="none" w:sz="0" w:space="0" w:color="000000"/>
                <w:bottom w:val="none" w:sz="0" w:space="0" w:color="000000"/>
                <w:right w:val="none" w:sz="0" w:space="0" w:color="000000"/>
              </w:pBdr>
              <w:spacing w:line="340" w:lineRule="exact"/>
              <w:ind w:left="-45"/>
              <w:jc w:val="center"/>
              <w:rPr>
                <w:rFonts w:ascii="宋体" w:hAnsi="宋体" w:cs="宋体"/>
                <w:color w:val="333333"/>
                <w:spacing w:val="10"/>
                <w:sz w:val="18"/>
                <w:szCs w:val="18"/>
              </w:rPr>
            </w:pPr>
            <w:r w:rsidRPr="009F3CDD">
              <w:rPr>
                <w:rFonts w:ascii="宋体" w:hAnsi="宋体" w:cs="宋体" w:hint="eastAsia"/>
                <w:color w:val="333333"/>
                <w:spacing w:val="10"/>
                <w:sz w:val="18"/>
                <w:szCs w:val="18"/>
              </w:rPr>
              <w:t>农产品产业链</w:t>
            </w:r>
          </w:p>
        </w:tc>
      </w:tr>
      <w:tr w:rsidR="00CF6558">
        <w:trPr>
          <w:trHeight w:val="406"/>
        </w:trPr>
        <w:tc>
          <w:tcPr>
            <w:tcW w:w="10100" w:type="dxa"/>
          </w:tcPr>
          <w:p w:rsidR="00C9615D" w:rsidRPr="00C9615D" w:rsidRDefault="00C9615D" w:rsidP="00C9615D">
            <w:pPr>
              <w:widowControl/>
              <w:shd w:val="clear" w:color="auto" w:fill="FEFFFF"/>
              <w:rPr>
                <w:rFonts w:ascii="宋体" w:hAnsi="宋体" w:cs="宋体" w:hint="eastAsia"/>
                <w:color w:val="333333"/>
                <w:spacing w:val="10"/>
                <w:sz w:val="18"/>
                <w:szCs w:val="18"/>
              </w:rPr>
            </w:pPr>
            <w:bookmarkStart w:id="4" w:name="_GoBack"/>
            <w:r w:rsidRPr="00C9615D">
              <w:rPr>
                <w:rFonts w:ascii="宋体" w:hAnsi="宋体" w:cs="宋体" w:hint="eastAsia"/>
                <w:color w:val="333333"/>
                <w:spacing w:val="10"/>
                <w:sz w:val="18"/>
                <w:szCs w:val="18"/>
              </w:rPr>
              <w:t>1、马来西亚政府宣布，自本月7日至20日重新在首都吉隆坡实施“行动管制令”，以应对近期日增病例数呈上升之势的新冠疫情。（来源：生意社）</w:t>
            </w:r>
          </w:p>
          <w:p w:rsidR="00C9615D" w:rsidRPr="00C9615D" w:rsidRDefault="00C9615D" w:rsidP="00C9615D">
            <w:pPr>
              <w:widowControl/>
              <w:shd w:val="clear" w:color="auto" w:fill="FEFFFF"/>
              <w:rPr>
                <w:rFonts w:ascii="宋体" w:hAnsi="宋体" w:cs="宋体" w:hint="eastAsia"/>
                <w:color w:val="333333"/>
                <w:spacing w:val="10"/>
                <w:sz w:val="18"/>
                <w:szCs w:val="18"/>
              </w:rPr>
            </w:pPr>
            <w:r w:rsidRPr="00C9615D">
              <w:rPr>
                <w:rFonts w:ascii="宋体" w:hAnsi="宋体" w:cs="宋体" w:hint="eastAsia"/>
                <w:color w:val="333333"/>
                <w:spacing w:val="10"/>
                <w:sz w:val="18"/>
                <w:szCs w:val="18"/>
              </w:rPr>
              <w:lastRenderedPageBreak/>
              <w:t>2、巴西全国谷物出口商协会（ANEC）表示，5月份巴西大豆出口量可能降至1196万吨，低于4月份的创纪录出口量1563万吨，也将低于去年5月份的出口量1386万吨。（来源：生意社）</w:t>
            </w:r>
          </w:p>
          <w:p w:rsidR="00CF6558" w:rsidRPr="009F3CDD" w:rsidRDefault="00C9615D" w:rsidP="00C9615D">
            <w:pPr>
              <w:widowControl/>
              <w:shd w:val="clear" w:color="auto" w:fill="FEFFFF"/>
              <w:rPr>
                <w:rFonts w:ascii="宋体" w:hAnsi="宋体" w:cs="宋体"/>
                <w:color w:val="333333"/>
                <w:spacing w:val="10"/>
                <w:sz w:val="18"/>
                <w:szCs w:val="18"/>
              </w:rPr>
            </w:pPr>
            <w:r w:rsidRPr="00C9615D">
              <w:rPr>
                <w:rFonts w:ascii="宋体" w:hAnsi="宋体" w:cs="宋体" w:hint="eastAsia"/>
                <w:color w:val="333333"/>
                <w:spacing w:val="10"/>
                <w:sz w:val="18"/>
                <w:szCs w:val="18"/>
              </w:rPr>
              <w:t>3、MPOB报告前瞻：MPOB将在5月10日发布马来西亚棕榈油的官方供需数据。分析师预计4月底马来西亚棕榈油库存可能降低，因为出口强劲，进口剧减，抵消了产量提高的影响。（来源：生意社）</w:t>
            </w:r>
            <w:bookmarkEnd w:id="4"/>
          </w:p>
        </w:tc>
      </w:tr>
      <w:tr w:rsidR="00CF6558">
        <w:trPr>
          <w:trHeight w:val="400"/>
        </w:trPr>
        <w:tc>
          <w:tcPr>
            <w:tcW w:w="10100" w:type="dxa"/>
          </w:tcPr>
          <w:p w:rsidR="00CF6558" w:rsidRPr="009F3CDD" w:rsidRDefault="00653621">
            <w:pPr>
              <w:pBdr>
                <w:top w:val="none" w:sz="0" w:space="0" w:color="000000"/>
                <w:left w:val="none" w:sz="0" w:space="0" w:color="000000"/>
                <w:bottom w:val="none" w:sz="0" w:space="0" w:color="000000"/>
                <w:right w:val="none" w:sz="0" w:space="0" w:color="000000"/>
              </w:pBdr>
              <w:spacing w:line="340" w:lineRule="exact"/>
              <w:ind w:left="-45"/>
              <w:jc w:val="center"/>
              <w:rPr>
                <w:rFonts w:ascii="宋体" w:hAnsi="宋体" w:cs="宋体"/>
                <w:color w:val="333333"/>
                <w:spacing w:val="10"/>
                <w:sz w:val="18"/>
                <w:szCs w:val="18"/>
              </w:rPr>
            </w:pPr>
            <w:r w:rsidRPr="009F3CDD">
              <w:rPr>
                <w:rFonts w:ascii="宋体" w:hAnsi="宋体" w:cs="宋体" w:hint="eastAsia"/>
                <w:color w:val="333333"/>
                <w:spacing w:val="10"/>
                <w:sz w:val="18"/>
                <w:szCs w:val="18"/>
              </w:rPr>
              <w:lastRenderedPageBreak/>
              <w:t>软商品</w:t>
            </w:r>
          </w:p>
        </w:tc>
      </w:tr>
      <w:tr w:rsidR="00CF6558">
        <w:trPr>
          <w:trHeight w:val="90"/>
        </w:trPr>
        <w:tc>
          <w:tcPr>
            <w:tcW w:w="10100" w:type="dxa"/>
          </w:tcPr>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1、目前南疆春播已进入收尾阶段，预计月底结束，北疆气温上升恢复正常。巴楚地区今年棉花种植面积同比持平，目前春播达80%左右，春灌偏晚的农户播种靠后。（中国棉花网）</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2、印度棉花主产区受到第二波新冠疫情影响。高感染率可能会限制从事棉花工作的人数，而封锁的扩大可能会影响种子、农药、化肥、燃料等物资供应，今年印度棉花种植面积和进度可能受到拖累。（中国棉花网）</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3、世行在其“商品市场展望”中指出，本季全球棉花产量预计下降8%，主要是美、印和巴基斯坦种植减少。预计2021年棉价比2020年上涨23%，2022年将小幅上涨。（纺织资讯）</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4、棉花商业库存延续了逐月递减的态势，工业库存有所增加。据统计，3月商业库存458.12万吨，环比下降9.12%；工业库存91.75万吨，环比上涨3.98%。（华瑞信息）</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5、从对几家种子公司、部分植棉大户的调查来看，今年3、4月份天气灾害相较2019、2020年并不算严重，可能对棉花单产没有大影响。（农产品期货网）</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6、2021年3月布瑞克中国食糖供需平衡表数据显示：2019/20榨季期末库存882万吨，库存消费比67%；展望2020/21榨季，食糖期末库存为1120万吨，库存消费比71.97%。（农产品期货网）</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7、截至4月25日广西2020/21榨季生产结束，一共有79家糖厂开机生产，同比上榨季减少3家，截至4月1日产糖率为12.76%，预计本榨季广西食糖产量略增，为630万吨左右。（云南糖网）</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8、USDA预计澳大利亚21/22榨季甘蔗压榨量将由3110万吨增长至3150万吨，预计产糖量由433.5万吨增加至440万吨。（云南糖网）</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9、泰国的下一榨季（2021/2022榨季）的糖产量将大幅回升40％，预测新榨季泰国产糖量为1060万吨，较本季节757万吨大幅回升。（糖业协会）</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10、巴西中南部2021/22榨季甘蔗作物发育期间的平均降雨量为882毫米，而上一榨季为1336毫米，同时天气预期到5月下旬依然偏干，这使得减产板上钉钉。（农产品期货网）</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11、2020年印度天胶产量同比降2.4%至68.5万吨，去年同期为70.2万吨;国内消费量同比降9%至104万吨，去年同期为114万吨。（天然橡胶网）</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12、据乘联会消息，4月市场预计狭义乘用车零售销量163万辆左右，同比增长约13.9%。进入二季度，厂商芯片短缺的影响凸显，预计芯片压力在下半年才能得到缓解。（天然橡胶网）</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13、2021年3月中国进口天然及合成橡胶(含胶乳)合计71.1万吨；2021年1-3月中国进口天然及合成橡胶(含胶乳)共计179.1万吨，同比增长8.0%。（橡胶技术网）</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14、截止4月15日，国内全钢胎开工率为76.01%（-2.3%），国内半钢胎开工率为72.81%(-1.12%）。（橡胶技术网）</w:t>
            </w:r>
          </w:p>
          <w:p w:rsidR="00CF6558" w:rsidRPr="009F3CDD" w:rsidRDefault="00653621">
            <w:pPr>
              <w:rPr>
                <w:rFonts w:ascii="宋体" w:hAnsi="宋体" w:cs="宋体"/>
                <w:color w:val="333333"/>
                <w:spacing w:val="10"/>
                <w:sz w:val="18"/>
                <w:szCs w:val="18"/>
              </w:rPr>
            </w:pPr>
            <w:r w:rsidRPr="009F3CDD">
              <w:rPr>
                <w:rFonts w:ascii="宋体" w:hAnsi="宋体" w:cs="宋体" w:hint="eastAsia"/>
                <w:color w:val="333333"/>
                <w:spacing w:val="10"/>
                <w:sz w:val="18"/>
                <w:szCs w:val="18"/>
              </w:rPr>
              <w:t>15、2021年3月我国再生橡胶进口量为10661.9吨，环比增加38.70%，较去年同期增加20.29%。1-3月再生橡胶累计进口量为28581.67吨，同比增加17.93%。（WIND）</w:t>
            </w:r>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3"/>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或征价，投资者据此作出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sectPr w:rsidR="00CF655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937" w:rsidRDefault="00E95937">
      <w:r>
        <w:separator/>
      </w:r>
    </w:p>
  </w:endnote>
  <w:endnote w:type="continuationSeparator" w:id="0">
    <w:p w:rsidR="00E95937" w:rsidRDefault="00E9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inheri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AD6067">
      <w:rPr>
        <w:rStyle w:val="aff8"/>
        <w:rFonts w:ascii="仿宋_GB2312" w:eastAsia="仿宋_GB2312" w:hAnsi="仿宋_GB2312"/>
        <w:b/>
        <w:noProof/>
        <w:color w:val="CC0000"/>
        <w:sz w:val="30"/>
      </w:rPr>
      <w:t>4</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937" w:rsidRDefault="00E95937">
      <w:r>
        <w:separator/>
      </w:r>
    </w:p>
  </w:footnote>
  <w:footnote w:type="continuationSeparator" w:id="0">
    <w:p w:rsidR="00E95937" w:rsidRDefault="00E95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9CF"/>
    <w:rsid w:val="00076D69"/>
    <w:rsid w:val="00077B13"/>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D48"/>
    <w:rsid w:val="000A0EA3"/>
    <w:rsid w:val="000A1241"/>
    <w:rsid w:val="000A1BF4"/>
    <w:rsid w:val="000A201F"/>
    <w:rsid w:val="000A4113"/>
    <w:rsid w:val="000A4DC1"/>
    <w:rsid w:val="000A6D18"/>
    <w:rsid w:val="000A73DA"/>
    <w:rsid w:val="000A7530"/>
    <w:rsid w:val="000A7743"/>
    <w:rsid w:val="000B059A"/>
    <w:rsid w:val="000B1FE3"/>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5673"/>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2E28"/>
    <w:rsid w:val="000F39AD"/>
    <w:rsid w:val="000F3B3C"/>
    <w:rsid w:val="000F4B79"/>
    <w:rsid w:val="000F5FA1"/>
    <w:rsid w:val="000F6104"/>
    <w:rsid w:val="000F6479"/>
    <w:rsid w:val="000F7A77"/>
    <w:rsid w:val="001003DD"/>
    <w:rsid w:val="00100969"/>
    <w:rsid w:val="001023E9"/>
    <w:rsid w:val="00103CB5"/>
    <w:rsid w:val="00103CD4"/>
    <w:rsid w:val="00104535"/>
    <w:rsid w:val="00105581"/>
    <w:rsid w:val="00105CBD"/>
    <w:rsid w:val="00106321"/>
    <w:rsid w:val="001065BD"/>
    <w:rsid w:val="00106E25"/>
    <w:rsid w:val="00107604"/>
    <w:rsid w:val="00107FFC"/>
    <w:rsid w:val="00110A98"/>
    <w:rsid w:val="0011268B"/>
    <w:rsid w:val="00112CAD"/>
    <w:rsid w:val="00112E2C"/>
    <w:rsid w:val="00113026"/>
    <w:rsid w:val="00113CFE"/>
    <w:rsid w:val="00113DD7"/>
    <w:rsid w:val="001147BC"/>
    <w:rsid w:val="00114823"/>
    <w:rsid w:val="001159C1"/>
    <w:rsid w:val="00115A51"/>
    <w:rsid w:val="00116A2B"/>
    <w:rsid w:val="00116B1F"/>
    <w:rsid w:val="00116FE1"/>
    <w:rsid w:val="0011701D"/>
    <w:rsid w:val="001179D1"/>
    <w:rsid w:val="00117CDD"/>
    <w:rsid w:val="0012037C"/>
    <w:rsid w:val="001213C3"/>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D66"/>
    <w:rsid w:val="001817B2"/>
    <w:rsid w:val="00181B67"/>
    <w:rsid w:val="00181C45"/>
    <w:rsid w:val="001822F7"/>
    <w:rsid w:val="0018271B"/>
    <w:rsid w:val="001835EC"/>
    <w:rsid w:val="0018365A"/>
    <w:rsid w:val="00183E89"/>
    <w:rsid w:val="0018435A"/>
    <w:rsid w:val="001853D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1DA7"/>
    <w:rsid w:val="001A2C80"/>
    <w:rsid w:val="001A2DAB"/>
    <w:rsid w:val="001A3D40"/>
    <w:rsid w:val="001A57CB"/>
    <w:rsid w:val="001A5D24"/>
    <w:rsid w:val="001A6121"/>
    <w:rsid w:val="001A703F"/>
    <w:rsid w:val="001A75B1"/>
    <w:rsid w:val="001B0026"/>
    <w:rsid w:val="001B0B98"/>
    <w:rsid w:val="001B0C37"/>
    <w:rsid w:val="001B1B7C"/>
    <w:rsid w:val="001B284B"/>
    <w:rsid w:val="001B42AB"/>
    <w:rsid w:val="001B4605"/>
    <w:rsid w:val="001B488A"/>
    <w:rsid w:val="001B4D86"/>
    <w:rsid w:val="001B594D"/>
    <w:rsid w:val="001B5F87"/>
    <w:rsid w:val="001C025C"/>
    <w:rsid w:val="001C0347"/>
    <w:rsid w:val="001C14E4"/>
    <w:rsid w:val="001C1DAC"/>
    <w:rsid w:val="001C38C2"/>
    <w:rsid w:val="001C3D1B"/>
    <w:rsid w:val="001C4A42"/>
    <w:rsid w:val="001C597F"/>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3998"/>
    <w:rsid w:val="001E45DC"/>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C10"/>
    <w:rsid w:val="002C3AA5"/>
    <w:rsid w:val="002C4ACD"/>
    <w:rsid w:val="002C4D18"/>
    <w:rsid w:val="002C4E52"/>
    <w:rsid w:val="002C594B"/>
    <w:rsid w:val="002C5B56"/>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4A2"/>
    <w:rsid w:val="002E6B88"/>
    <w:rsid w:val="002E7062"/>
    <w:rsid w:val="002F009E"/>
    <w:rsid w:val="002F00D3"/>
    <w:rsid w:val="002F29F2"/>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9EF"/>
    <w:rsid w:val="00340CA3"/>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F5"/>
    <w:rsid w:val="00350EF7"/>
    <w:rsid w:val="00350FDB"/>
    <w:rsid w:val="00353599"/>
    <w:rsid w:val="00353BE8"/>
    <w:rsid w:val="003548EA"/>
    <w:rsid w:val="00354918"/>
    <w:rsid w:val="00355474"/>
    <w:rsid w:val="00355675"/>
    <w:rsid w:val="00357C21"/>
    <w:rsid w:val="00361440"/>
    <w:rsid w:val="003614FA"/>
    <w:rsid w:val="003637C7"/>
    <w:rsid w:val="0036386C"/>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5C5"/>
    <w:rsid w:val="00374BB7"/>
    <w:rsid w:val="00374ED9"/>
    <w:rsid w:val="00374EF1"/>
    <w:rsid w:val="0037562A"/>
    <w:rsid w:val="00375C03"/>
    <w:rsid w:val="00375CF4"/>
    <w:rsid w:val="00376714"/>
    <w:rsid w:val="003775EE"/>
    <w:rsid w:val="0038030C"/>
    <w:rsid w:val="00380626"/>
    <w:rsid w:val="0038098E"/>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615B"/>
    <w:rsid w:val="0040799E"/>
    <w:rsid w:val="0041008E"/>
    <w:rsid w:val="004107DE"/>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5864"/>
    <w:rsid w:val="00485F3A"/>
    <w:rsid w:val="00486872"/>
    <w:rsid w:val="004869E6"/>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C4E"/>
    <w:rsid w:val="004E7CB8"/>
    <w:rsid w:val="004F0A69"/>
    <w:rsid w:val="004F1EA8"/>
    <w:rsid w:val="004F2CCD"/>
    <w:rsid w:val="004F321F"/>
    <w:rsid w:val="004F387F"/>
    <w:rsid w:val="004F51C3"/>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40A63"/>
    <w:rsid w:val="00540C36"/>
    <w:rsid w:val="00540F65"/>
    <w:rsid w:val="005410F6"/>
    <w:rsid w:val="00541408"/>
    <w:rsid w:val="00541626"/>
    <w:rsid w:val="005416BE"/>
    <w:rsid w:val="0054208D"/>
    <w:rsid w:val="00542688"/>
    <w:rsid w:val="00543FF2"/>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519"/>
    <w:rsid w:val="00554C02"/>
    <w:rsid w:val="00555036"/>
    <w:rsid w:val="00555F40"/>
    <w:rsid w:val="00556AD6"/>
    <w:rsid w:val="00556F22"/>
    <w:rsid w:val="00557256"/>
    <w:rsid w:val="00557365"/>
    <w:rsid w:val="0055753E"/>
    <w:rsid w:val="00562884"/>
    <w:rsid w:val="0056288E"/>
    <w:rsid w:val="00563184"/>
    <w:rsid w:val="00563494"/>
    <w:rsid w:val="00564DD2"/>
    <w:rsid w:val="00565826"/>
    <w:rsid w:val="00565868"/>
    <w:rsid w:val="00567401"/>
    <w:rsid w:val="00567E5B"/>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C08A3"/>
    <w:rsid w:val="005C0CEE"/>
    <w:rsid w:val="005C0DAF"/>
    <w:rsid w:val="005C12C1"/>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420"/>
    <w:rsid w:val="00624EC1"/>
    <w:rsid w:val="006262A7"/>
    <w:rsid w:val="00626743"/>
    <w:rsid w:val="00627204"/>
    <w:rsid w:val="0062756B"/>
    <w:rsid w:val="0062785D"/>
    <w:rsid w:val="006278FD"/>
    <w:rsid w:val="006305B8"/>
    <w:rsid w:val="00631317"/>
    <w:rsid w:val="00631775"/>
    <w:rsid w:val="00633783"/>
    <w:rsid w:val="006337AA"/>
    <w:rsid w:val="0063401C"/>
    <w:rsid w:val="00634F3E"/>
    <w:rsid w:val="006357E9"/>
    <w:rsid w:val="00636473"/>
    <w:rsid w:val="006364D9"/>
    <w:rsid w:val="00636946"/>
    <w:rsid w:val="00636CB8"/>
    <w:rsid w:val="00636DCF"/>
    <w:rsid w:val="00637DA7"/>
    <w:rsid w:val="00637F2F"/>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AD"/>
    <w:rsid w:val="00670908"/>
    <w:rsid w:val="0067156F"/>
    <w:rsid w:val="006728E6"/>
    <w:rsid w:val="00673E8F"/>
    <w:rsid w:val="006751C2"/>
    <w:rsid w:val="0067611C"/>
    <w:rsid w:val="00676168"/>
    <w:rsid w:val="00676F12"/>
    <w:rsid w:val="0067712D"/>
    <w:rsid w:val="006772FB"/>
    <w:rsid w:val="00677CB9"/>
    <w:rsid w:val="0068068C"/>
    <w:rsid w:val="00681B8C"/>
    <w:rsid w:val="00681C9F"/>
    <w:rsid w:val="00682C86"/>
    <w:rsid w:val="006831B7"/>
    <w:rsid w:val="00684238"/>
    <w:rsid w:val="0068428C"/>
    <w:rsid w:val="0068460E"/>
    <w:rsid w:val="00684676"/>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5AEF"/>
    <w:rsid w:val="00705DB6"/>
    <w:rsid w:val="00706AF7"/>
    <w:rsid w:val="00707427"/>
    <w:rsid w:val="007079D2"/>
    <w:rsid w:val="00707BAC"/>
    <w:rsid w:val="00710445"/>
    <w:rsid w:val="0071073F"/>
    <w:rsid w:val="00710DFC"/>
    <w:rsid w:val="00711314"/>
    <w:rsid w:val="00711423"/>
    <w:rsid w:val="0071273D"/>
    <w:rsid w:val="007128D7"/>
    <w:rsid w:val="00714FF6"/>
    <w:rsid w:val="00716833"/>
    <w:rsid w:val="00717810"/>
    <w:rsid w:val="00717AB3"/>
    <w:rsid w:val="00720235"/>
    <w:rsid w:val="00721D07"/>
    <w:rsid w:val="007224C8"/>
    <w:rsid w:val="007236D4"/>
    <w:rsid w:val="00723D4B"/>
    <w:rsid w:val="007249E9"/>
    <w:rsid w:val="00724A3C"/>
    <w:rsid w:val="00724E16"/>
    <w:rsid w:val="007250E6"/>
    <w:rsid w:val="00725A97"/>
    <w:rsid w:val="0072607A"/>
    <w:rsid w:val="0072615C"/>
    <w:rsid w:val="00726604"/>
    <w:rsid w:val="00726F10"/>
    <w:rsid w:val="00727A64"/>
    <w:rsid w:val="00727CB1"/>
    <w:rsid w:val="007304CB"/>
    <w:rsid w:val="00730C07"/>
    <w:rsid w:val="00731739"/>
    <w:rsid w:val="00731B4A"/>
    <w:rsid w:val="00731F61"/>
    <w:rsid w:val="00732157"/>
    <w:rsid w:val="00732D64"/>
    <w:rsid w:val="00733371"/>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EA"/>
    <w:rsid w:val="008C4624"/>
    <w:rsid w:val="008C749F"/>
    <w:rsid w:val="008C74BD"/>
    <w:rsid w:val="008D00E9"/>
    <w:rsid w:val="008D19DE"/>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616E"/>
    <w:rsid w:val="009363AA"/>
    <w:rsid w:val="009364C0"/>
    <w:rsid w:val="00936BE7"/>
    <w:rsid w:val="00937BBF"/>
    <w:rsid w:val="00940C13"/>
    <w:rsid w:val="0094144F"/>
    <w:rsid w:val="009417D0"/>
    <w:rsid w:val="00941CD8"/>
    <w:rsid w:val="00941D9E"/>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49DD"/>
    <w:rsid w:val="00955093"/>
    <w:rsid w:val="00955B38"/>
    <w:rsid w:val="009578D6"/>
    <w:rsid w:val="00957AFC"/>
    <w:rsid w:val="009600AE"/>
    <w:rsid w:val="009601CA"/>
    <w:rsid w:val="00960E54"/>
    <w:rsid w:val="00960EA5"/>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725"/>
    <w:rsid w:val="009809FC"/>
    <w:rsid w:val="0098315D"/>
    <w:rsid w:val="00983825"/>
    <w:rsid w:val="00984344"/>
    <w:rsid w:val="0098479E"/>
    <w:rsid w:val="00984DFF"/>
    <w:rsid w:val="009854B6"/>
    <w:rsid w:val="00985A1F"/>
    <w:rsid w:val="00986441"/>
    <w:rsid w:val="00986B83"/>
    <w:rsid w:val="00990EE4"/>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C06F4"/>
    <w:rsid w:val="009C0DDF"/>
    <w:rsid w:val="009C1213"/>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A4C"/>
    <w:rsid w:val="009E4CA4"/>
    <w:rsid w:val="009E657A"/>
    <w:rsid w:val="009E68CD"/>
    <w:rsid w:val="009E6F82"/>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D54"/>
    <w:rsid w:val="00A247A9"/>
    <w:rsid w:val="00A25468"/>
    <w:rsid w:val="00A2564F"/>
    <w:rsid w:val="00A264EF"/>
    <w:rsid w:val="00A26B73"/>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E3E"/>
    <w:rsid w:val="00A715D6"/>
    <w:rsid w:val="00A717F5"/>
    <w:rsid w:val="00A72394"/>
    <w:rsid w:val="00A73708"/>
    <w:rsid w:val="00A73F8A"/>
    <w:rsid w:val="00A74346"/>
    <w:rsid w:val="00A74E5D"/>
    <w:rsid w:val="00A7576A"/>
    <w:rsid w:val="00A7649E"/>
    <w:rsid w:val="00A77830"/>
    <w:rsid w:val="00A808FC"/>
    <w:rsid w:val="00A817EC"/>
    <w:rsid w:val="00A818D0"/>
    <w:rsid w:val="00A82796"/>
    <w:rsid w:val="00A828F5"/>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943"/>
    <w:rsid w:val="00B33AF7"/>
    <w:rsid w:val="00B33ED0"/>
    <w:rsid w:val="00B342B8"/>
    <w:rsid w:val="00B356DF"/>
    <w:rsid w:val="00B35E04"/>
    <w:rsid w:val="00B35F87"/>
    <w:rsid w:val="00B363B9"/>
    <w:rsid w:val="00B3729A"/>
    <w:rsid w:val="00B4012B"/>
    <w:rsid w:val="00B40988"/>
    <w:rsid w:val="00B40BFF"/>
    <w:rsid w:val="00B41A99"/>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350F"/>
    <w:rsid w:val="00BB371E"/>
    <w:rsid w:val="00BB3D0F"/>
    <w:rsid w:val="00BB4121"/>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B2A"/>
    <w:rsid w:val="00BD0FE7"/>
    <w:rsid w:val="00BD1C1F"/>
    <w:rsid w:val="00BD2D56"/>
    <w:rsid w:val="00BD4282"/>
    <w:rsid w:val="00BD47E7"/>
    <w:rsid w:val="00BD4E42"/>
    <w:rsid w:val="00BD512E"/>
    <w:rsid w:val="00BD55BA"/>
    <w:rsid w:val="00BD5E42"/>
    <w:rsid w:val="00BD6A12"/>
    <w:rsid w:val="00BD779F"/>
    <w:rsid w:val="00BE0403"/>
    <w:rsid w:val="00BE1636"/>
    <w:rsid w:val="00BE197F"/>
    <w:rsid w:val="00BE1D3C"/>
    <w:rsid w:val="00BE1D41"/>
    <w:rsid w:val="00BE20C9"/>
    <w:rsid w:val="00BE2238"/>
    <w:rsid w:val="00BE305D"/>
    <w:rsid w:val="00BE30BC"/>
    <w:rsid w:val="00BE3870"/>
    <w:rsid w:val="00BE4017"/>
    <w:rsid w:val="00BE405E"/>
    <w:rsid w:val="00BE4A26"/>
    <w:rsid w:val="00BE6151"/>
    <w:rsid w:val="00BE6B06"/>
    <w:rsid w:val="00BE6D61"/>
    <w:rsid w:val="00BF04D9"/>
    <w:rsid w:val="00BF13ED"/>
    <w:rsid w:val="00BF2130"/>
    <w:rsid w:val="00BF22AB"/>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4342"/>
    <w:rsid w:val="00C06231"/>
    <w:rsid w:val="00C06265"/>
    <w:rsid w:val="00C06511"/>
    <w:rsid w:val="00C0655F"/>
    <w:rsid w:val="00C07492"/>
    <w:rsid w:val="00C07709"/>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156A"/>
    <w:rsid w:val="00C6174A"/>
    <w:rsid w:val="00C6233A"/>
    <w:rsid w:val="00C6264C"/>
    <w:rsid w:val="00C62929"/>
    <w:rsid w:val="00C6492A"/>
    <w:rsid w:val="00C64F63"/>
    <w:rsid w:val="00C650AB"/>
    <w:rsid w:val="00C66A2C"/>
    <w:rsid w:val="00C66D46"/>
    <w:rsid w:val="00C70035"/>
    <w:rsid w:val="00C70721"/>
    <w:rsid w:val="00C70C33"/>
    <w:rsid w:val="00C70CAE"/>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911"/>
    <w:rsid w:val="00D24864"/>
    <w:rsid w:val="00D24DC8"/>
    <w:rsid w:val="00D255FF"/>
    <w:rsid w:val="00D25EDB"/>
    <w:rsid w:val="00D2604F"/>
    <w:rsid w:val="00D260D1"/>
    <w:rsid w:val="00D26E51"/>
    <w:rsid w:val="00D271E4"/>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97A"/>
    <w:rsid w:val="00D62B44"/>
    <w:rsid w:val="00D6383A"/>
    <w:rsid w:val="00D6392E"/>
    <w:rsid w:val="00D6445A"/>
    <w:rsid w:val="00D65062"/>
    <w:rsid w:val="00D65736"/>
    <w:rsid w:val="00D65832"/>
    <w:rsid w:val="00D7011E"/>
    <w:rsid w:val="00D70524"/>
    <w:rsid w:val="00D70581"/>
    <w:rsid w:val="00D735CB"/>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60F5"/>
    <w:rsid w:val="00DB6A7B"/>
    <w:rsid w:val="00DB6C2B"/>
    <w:rsid w:val="00DB7519"/>
    <w:rsid w:val="00DB7986"/>
    <w:rsid w:val="00DC0018"/>
    <w:rsid w:val="00DC01B7"/>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E0057B"/>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2306"/>
    <w:rsid w:val="00E32A66"/>
    <w:rsid w:val="00E32E71"/>
    <w:rsid w:val="00E3313D"/>
    <w:rsid w:val="00E33FDA"/>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F7"/>
    <w:rsid w:val="00E4694A"/>
    <w:rsid w:val="00E50140"/>
    <w:rsid w:val="00E5093D"/>
    <w:rsid w:val="00E50C03"/>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71802"/>
    <w:rsid w:val="00E71927"/>
    <w:rsid w:val="00E71DE8"/>
    <w:rsid w:val="00E73577"/>
    <w:rsid w:val="00E74364"/>
    <w:rsid w:val="00E75603"/>
    <w:rsid w:val="00E76411"/>
    <w:rsid w:val="00E767B7"/>
    <w:rsid w:val="00E76ABC"/>
    <w:rsid w:val="00E76C83"/>
    <w:rsid w:val="00E771CE"/>
    <w:rsid w:val="00E7767A"/>
    <w:rsid w:val="00E80174"/>
    <w:rsid w:val="00E8047F"/>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5DA2"/>
    <w:rsid w:val="00F95DE2"/>
    <w:rsid w:val="00F9633D"/>
    <w:rsid w:val="00F96E00"/>
    <w:rsid w:val="00F97529"/>
    <w:rsid w:val="00F978FE"/>
    <w:rsid w:val="00FA02DB"/>
    <w:rsid w:val="00FA04C1"/>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5B477-0281-4F0E-A393-663F644D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Template>
  <TotalTime>147</TotalTime>
  <Pages>1</Pages>
  <Words>1434</Words>
  <Characters>8176</Characters>
  <Application>Microsoft Office Word</Application>
  <DocSecurity>0</DocSecurity>
  <Lines>68</Lines>
  <Paragraphs>19</Paragraphs>
  <ScaleCrop>false</ScaleCrop>
  <Company>Microsoft</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china</cp:lastModifiedBy>
  <cp:revision>28</cp:revision>
  <cp:lastPrinted>2021-02-01T00:40:00Z</cp:lastPrinted>
  <dcterms:created xsi:type="dcterms:W3CDTF">2021-03-31T00:43:00Z</dcterms:created>
  <dcterms:modified xsi:type="dcterms:W3CDTF">2021-05-07T02:34:00Z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