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C4FB1">
      <w:pPr>
        <w:spacing w:line="560" w:lineRule="exact"/>
        <w:jc w:val="left"/>
        <w:rPr>
          <w:rFonts w:ascii="方正大标宋简体" w:eastAsia="方正大标宋简体"/>
          <w:kern w:val="0"/>
          <w:sz w:val="36"/>
          <w:szCs w:val="36"/>
        </w:rPr>
      </w:pPr>
      <w:bookmarkStart w:id="2" w:name="_GoBack"/>
      <w:bookmarkEnd w:id="2"/>
    </w:p>
    <w:p w14:paraId="5982F1C9">
      <w:pPr>
        <w:spacing w:line="560" w:lineRule="exact"/>
        <w:jc w:val="center"/>
        <w:rPr>
          <w:rFonts w:ascii="方正大标宋简体" w:hAnsi="宋体" w:eastAsia="方正大标宋简体"/>
          <w:sz w:val="42"/>
          <w:szCs w:val="42"/>
        </w:rPr>
      </w:pPr>
      <w:r>
        <w:rPr>
          <w:rFonts w:hint="eastAsia" w:ascii="方正大标宋简体" w:hAnsi="宋体" w:eastAsia="方正大标宋简体"/>
          <w:sz w:val="42"/>
          <w:szCs w:val="42"/>
        </w:rPr>
        <w:t>上海期货交易所铸造铝合金期货合约</w:t>
      </w:r>
    </w:p>
    <w:p w14:paraId="0B92DDC6">
      <w:pPr>
        <w:spacing w:line="560" w:lineRule="exact"/>
        <w:jc w:val="center"/>
        <w:rPr>
          <w:rFonts w:ascii="方正大标宋简体" w:hAnsi="宋体" w:eastAsia="方正大标宋简体"/>
          <w:sz w:val="42"/>
          <w:szCs w:val="42"/>
        </w:rPr>
      </w:pP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4"/>
        <w:gridCol w:w="5975"/>
      </w:tblGrid>
      <w:tr w14:paraId="2D69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F9F8B8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 xml:space="preserve">交易品种 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359A11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铸造铝合金</w:t>
            </w:r>
          </w:p>
        </w:tc>
      </w:tr>
      <w:tr w14:paraId="7BF1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21B404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交易单位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B22715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10吨/手</w:t>
            </w:r>
          </w:p>
        </w:tc>
      </w:tr>
      <w:tr w14:paraId="54C5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872CDE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报价单位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E6408F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元（人民币）/吨</w:t>
            </w:r>
          </w:p>
        </w:tc>
      </w:tr>
      <w:tr w14:paraId="1CCA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508A86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最小变动价位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D65FD1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5元/吨</w:t>
            </w:r>
          </w:p>
        </w:tc>
      </w:tr>
      <w:tr w14:paraId="019D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645D1F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涨跌停板幅度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51F4AC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上一交易日结算价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sz w:val="30"/>
                <w:szCs w:val="30"/>
              </w:rPr>
              <w:t>±</w:t>
            </w: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3%</w:t>
            </w:r>
          </w:p>
        </w:tc>
      </w:tr>
      <w:tr w14:paraId="3762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CF3CFC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合约月份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50E95F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1~12月</w:t>
            </w:r>
          </w:p>
        </w:tc>
      </w:tr>
      <w:tr w14:paraId="0CD5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F706BC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交易时间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4FE07F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上午9:00 ~ 11:30，下午13:30 ~15:00和交易所规定的其他交易时间</w:t>
            </w:r>
          </w:p>
        </w:tc>
      </w:tr>
      <w:tr w14:paraId="2A29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064240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最后交易日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E21E2B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合约月份的15日（遇国家法定节假日顺延，春节月份等最后交易日交易所可另行调整并通知）</w:t>
            </w:r>
          </w:p>
        </w:tc>
      </w:tr>
      <w:tr w14:paraId="32BE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B62891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交割日期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3DB816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最后交易日后连续二个工作日</w:t>
            </w:r>
          </w:p>
        </w:tc>
      </w:tr>
      <w:tr w14:paraId="07D8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71170C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交割品级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BB48EE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bookmarkStart w:id="0" w:name="OLE_LINK63"/>
            <w:bookmarkStart w:id="1" w:name="OLE_LINK62"/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铸造铝合金锭，具体质量规定见附件</w:t>
            </w:r>
            <w:bookmarkEnd w:id="0"/>
            <w:bookmarkEnd w:id="1"/>
          </w:p>
        </w:tc>
      </w:tr>
      <w:tr w14:paraId="7C50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7E04E3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交割地点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3E3C8F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交易所交割地点</w:t>
            </w:r>
          </w:p>
        </w:tc>
      </w:tr>
      <w:tr w14:paraId="5E5C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EDA315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最低交易保证金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63605E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合约价值的5%</w:t>
            </w:r>
          </w:p>
        </w:tc>
      </w:tr>
      <w:tr w14:paraId="6D73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5BCB22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sz w:val="30"/>
                <w:szCs w:val="30"/>
              </w:rPr>
              <w:t>交割方式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A56777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实物交割</w:t>
            </w:r>
          </w:p>
        </w:tc>
      </w:tr>
      <w:tr w14:paraId="36B3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B232AE">
            <w:pPr>
              <w:widowControl/>
              <w:spacing w:line="480" w:lineRule="exact"/>
              <w:jc w:val="left"/>
              <w:rPr>
                <w:rFonts w:ascii="方正仿宋简体" w:hAnsi="Times New Roman" w:eastAsia="方正仿宋简体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30"/>
                <w:szCs w:val="30"/>
              </w:rPr>
              <w:t>交割单位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3E95AB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  <w:t>30吨</w:t>
            </w:r>
          </w:p>
        </w:tc>
      </w:tr>
      <w:tr w14:paraId="6834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447C43">
            <w:pPr>
              <w:widowControl/>
              <w:spacing w:line="480" w:lineRule="exact"/>
              <w:jc w:val="left"/>
              <w:rPr>
                <w:rFonts w:ascii="方正仿宋简体" w:hAnsi="Times New Roman" w:eastAsia="方正仿宋简体"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30"/>
                <w:szCs w:val="30"/>
              </w:rPr>
              <w:t>交易代码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457728">
            <w:pPr>
              <w:widowControl/>
              <w:spacing w:line="480" w:lineRule="exact"/>
              <w:jc w:val="left"/>
              <w:rPr>
                <w:rFonts w:ascii="Times New Roman" w:hAnsi="Times New Roman" w:eastAsia="方正仿宋简体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Cs/>
                <w:color w:val="000000"/>
                <w:sz w:val="30"/>
                <w:szCs w:val="30"/>
              </w:rPr>
              <w:t>AD</w:t>
            </w:r>
          </w:p>
        </w:tc>
      </w:tr>
      <w:tr w14:paraId="701B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4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A6ED6E">
            <w:pPr>
              <w:widowControl/>
              <w:spacing w:line="480" w:lineRule="exact"/>
              <w:jc w:val="left"/>
              <w:rPr>
                <w:rFonts w:ascii="方正仿宋简体" w:hAnsi="宋体" w:eastAsia="方正仿宋简体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bCs/>
                <w:color w:val="000000"/>
                <w:sz w:val="30"/>
                <w:szCs w:val="30"/>
              </w:rPr>
              <w:t>上市交易所</w:t>
            </w:r>
          </w:p>
        </w:tc>
        <w:tc>
          <w:tcPr>
            <w:tcW w:w="5975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942054">
            <w:pPr>
              <w:widowControl/>
              <w:spacing w:line="480" w:lineRule="exact"/>
              <w:jc w:val="left"/>
              <w:rPr>
                <w:rFonts w:ascii="方正仿宋简体" w:hAnsi="Times New Roman" w:eastAsia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30"/>
                <w:szCs w:val="30"/>
              </w:rPr>
              <w:t>上海期货交易所</w:t>
            </w:r>
          </w:p>
        </w:tc>
      </w:tr>
    </w:tbl>
    <w:p w14:paraId="47780505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E1F2318">
      <w:pPr>
        <w:spacing w:line="560" w:lineRule="exact"/>
        <w:jc w:val="center"/>
        <w:rPr>
          <w:rFonts w:ascii="方正大标宋简体" w:hAnsi="宋体" w:eastAsia="方正大标宋简体"/>
          <w:sz w:val="42"/>
          <w:szCs w:val="42"/>
        </w:rPr>
      </w:pPr>
      <w:r>
        <w:rPr>
          <w:rFonts w:hint="eastAsia" w:ascii="方正大标宋简体" w:hAnsi="宋体" w:eastAsia="方正大标宋简体"/>
          <w:sz w:val="42"/>
          <w:szCs w:val="42"/>
        </w:rPr>
        <w:t>上海期货交易所铸造铝合金期货合约附件</w:t>
      </w:r>
    </w:p>
    <w:p w14:paraId="1B6E1B1F">
      <w:pPr>
        <w:spacing w:line="560" w:lineRule="exact"/>
        <w:jc w:val="center"/>
        <w:rPr>
          <w:rFonts w:ascii="方正大标宋简体" w:hAnsi="Times New Roman" w:eastAsia="方正大标宋简体"/>
          <w:sz w:val="40"/>
          <w:szCs w:val="30"/>
        </w:rPr>
      </w:pPr>
    </w:p>
    <w:p w14:paraId="754D19CA">
      <w:pPr>
        <w:spacing w:line="560" w:lineRule="exact"/>
        <w:ind w:firstLine="600" w:firstLineChars="200"/>
        <w:rPr>
          <w:rFonts w:ascii="方正黑体简体" w:hAnsi="Times New Roman" w:eastAsia="方正黑体简体"/>
          <w:sz w:val="30"/>
          <w:szCs w:val="30"/>
        </w:rPr>
      </w:pPr>
      <w:r>
        <w:rPr>
          <w:rFonts w:hint="eastAsia" w:ascii="方正黑体简体" w:hAnsi="Times New Roman" w:eastAsia="方正黑体简体"/>
          <w:sz w:val="30"/>
          <w:szCs w:val="30"/>
        </w:rPr>
        <w:t>一、交割单位</w:t>
      </w:r>
    </w:p>
    <w:p w14:paraId="04B7DEE6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铸造铝合金期货合约的交易单位为每手10吨，交割单位为每一标准仓单30吨，交割应当以每一标准仓单的整数倍交割。</w:t>
      </w:r>
    </w:p>
    <w:p w14:paraId="482883D1">
      <w:pPr>
        <w:spacing w:line="560" w:lineRule="exact"/>
        <w:ind w:firstLine="600" w:firstLineChars="200"/>
        <w:rPr>
          <w:rFonts w:ascii="方正黑体简体" w:hAnsi="Times New Roman" w:eastAsia="方正黑体简体"/>
          <w:sz w:val="30"/>
          <w:szCs w:val="30"/>
        </w:rPr>
      </w:pPr>
      <w:r>
        <w:rPr>
          <w:rFonts w:ascii="方正黑体简体" w:hAnsi="Times New Roman" w:eastAsia="方正黑体简体"/>
          <w:sz w:val="30"/>
          <w:szCs w:val="30"/>
        </w:rPr>
        <w:t>二、质量规定</w:t>
      </w:r>
    </w:p>
    <w:p w14:paraId="3955FCCD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1、用于实物交割的铸造铝合金，化学成分应</w:t>
      </w:r>
      <w:r>
        <w:rPr>
          <w:rFonts w:hint="eastAsia" w:ascii="Times New Roman" w:hAnsi="Times New Roman" w:eastAsia="方正仿宋简体"/>
          <w:sz w:val="30"/>
          <w:szCs w:val="30"/>
        </w:rPr>
        <w:t>当</w:t>
      </w:r>
      <w:r>
        <w:rPr>
          <w:rFonts w:ascii="Times New Roman" w:hAnsi="Times New Roman" w:eastAsia="方正仿宋简体"/>
          <w:sz w:val="30"/>
          <w:szCs w:val="30"/>
        </w:rPr>
        <w:t>符合GB/T 8733-2016中383Y.3或</w:t>
      </w:r>
      <w:r>
        <w:rPr>
          <w:rFonts w:hint="eastAsia" w:ascii="Times New Roman" w:hAnsi="Times New Roman" w:eastAsia="方正仿宋简体"/>
          <w:sz w:val="30"/>
          <w:szCs w:val="30"/>
        </w:rPr>
        <w:t>者</w:t>
      </w:r>
      <w:r>
        <w:rPr>
          <w:rFonts w:ascii="Times New Roman" w:hAnsi="Times New Roman" w:eastAsia="方正仿宋简体"/>
          <w:sz w:val="30"/>
          <w:szCs w:val="30"/>
        </w:rPr>
        <w:t>JIS H 2118</w:t>
      </w:r>
      <w:r>
        <w:rPr>
          <w:rFonts w:hint="eastAsia" w:ascii="Times New Roman" w:hAnsi="Times New Roman" w:eastAsia="方正仿宋简体"/>
          <w:sz w:val="30"/>
          <w:szCs w:val="30"/>
        </w:rPr>
        <w:t>：</w:t>
      </w:r>
      <w:r>
        <w:rPr>
          <w:rFonts w:ascii="Times New Roman" w:hAnsi="Times New Roman" w:eastAsia="方正仿宋简体"/>
          <w:sz w:val="30"/>
          <w:szCs w:val="30"/>
        </w:rPr>
        <w:t>2006中AD12.1的规定，且符合以下规定：</w:t>
      </w:r>
    </w:p>
    <w:p w14:paraId="19E00393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（1）铅含量不高于0.1%；</w:t>
      </w:r>
    </w:p>
    <w:p w14:paraId="5FEA77DE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（2）针孔度应</w:t>
      </w:r>
      <w:r>
        <w:rPr>
          <w:rFonts w:hint="eastAsia" w:ascii="Times New Roman" w:hAnsi="Times New Roman" w:eastAsia="方正仿宋简体"/>
          <w:sz w:val="30"/>
          <w:szCs w:val="30"/>
        </w:rPr>
        <w:t>当</w:t>
      </w:r>
      <w:r>
        <w:rPr>
          <w:rFonts w:ascii="Times New Roman" w:hAnsi="Times New Roman" w:eastAsia="方正仿宋简体"/>
          <w:sz w:val="30"/>
          <w:szCs w:val="30"/>
        </w:rPr>
        <w:t>符合或</w:t>
      </w:r>
      <w:r>
        <w:rPr>
          <w:rFonts w:hint="eastAsia" w:ascii="Times New Roman" w:hAnsi="Times New Roman" w:eastAsia="方正仿宋简体"/>
          <w:sz w:val="30"/>
          <w:szCs w:val="30"/>
        </w:rPr>
        <w:t>者</w:t>
      </w:r>
      <w:r>
        <w:rPr>
          <w:rFonts w:ascii="Times New Roman" w:hAnsi="Times New Roman" w:eastAsia="方正仿宋简体"/>
          <w:sz w:val="30"/>
          <w:szCs w:val="30"/>
        </w:rPr>
        <w:t>优于二级；</w:t>
      </w:r>
    </w:p>
    <w:p w14:paraId="31B816E4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（3）夹渣量应</w:t>
      </w:r>
      <w:r>
        <w:rPr>
          <w:rFonts w:hint="eastAsia" w:ascii="Times New Roman" w:hAnsi="Times New Roman" w:eastAsia="方正仿宋简体"/>
          <w:sz w:val="30"/>
          <w:szCs w:val="30"/>
        </w:rPr>
        <w:t>当</w:t>
      </w:r>
      <w:r>
        <w:rPr>
          <w:rFonts w:ascii="Times New Roman" w:hAnsi="Times New Roman" w:eastAsia="方正仿宋简体"/>
          <w:sz w:val="30"/>
          <w:szCs w:val="30"/>
        </w:rPr>
        <w:t>满足K值</w:t>
      </w:r>
      <w:r>
        <w:rPr>
          <w:rFonts w:ascii="仿宋" w:hAnsi="仿宋" w:eastAsia="仿宋"/>
          <w:sz w:val="30"/>
          <w:szCs w:val="30"/>
        </w:rPr>
        <w:t>≤</w:t>
      </w:r>
      <w:r>
        <w:rPr>
          <w:rFonts w:ascii="Times New Roman" w:hAnsi="Times New Roman" w:eastAsia="方正仿宋简体"/>
          <w:sz w:val="30"/>
          <w:szCs w:val="30"/>
        </w:rPr>
        <w:t>0.2；</w:t>
      </w:r>
    </w:p>
    <w:p w14:paraId="7FCFA775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（</w:t>
      </w:r>
      <w:r>
        <w:rPr>
          <w:rFonts w:ascii="Times New Roman" w:hAnsi="Times New Roman" w:eastAsia="方正仿宋简体"/>
          <w:sz w:val="30"/>
          <w:szCs w:val="30"/>
        </w:rPr>
        <w:t>4</w:t>
      </w:r>
      <w:r>
        <w:rPr>
          <w:rFonts w:hint="eastAsia" w:ascii="Times New Roman" w:hAnsi="Times New Roman" w:eastAsia="方正仿宋简体"/>
          <w:sz w:val="30"/>
          <w:szCs w:val="30"/>
        </w:rPr>
        <w:t>）铸锭断口组织应致密，不应有熔渣及夹杂物。</w:t>
      </w:r>
    </w:p>
    <w:p w14:paraId="469354A3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2、交割</w:t>
      </w:r>
      <w:r>
        <w:rPr>
          <w:rFonts w:hint="eastAsia" w:ascii="Times New Roman" w:hAnsi="Times New Roman" w:eastAsia="方正仿宋简体"/>
          <w:sz w:val="30"/>
          <w:szCs w:val="30"/>
        </w:rPr>
        <w:t>的铸造铝合金</w:t>
      </w:r>
      <w:r>
        <w:rPr>
          <w:rFonts w:ascii="Times New Roman" w:hAnsi="Times New Roman" w:eastAsia="方正仿宋简体"/>
          <w:sz w:val="30"/>
          <w:szCs w:val="30"/>
        </w:rPr>
        <w:t>应</w:t>
      </w:r>
      <w:r>
        <w:rPr>
          <w:rFonts w:hint="eastAsia" w:ascii="Times New Roman" w:hAnsi="Times New Roman" w:eastAsia="方正仿宋简体"/>
          <w:sz w:val="30"/>
          <w:szCs w:val="30"/>
        </w:rPr>
        <w:t>当</w:t>
      </w:r>
      <w:r>
        <w:rPr>
          <w:rFonts w:ascii="Times New Roman" w:hAnsi="Times New Roman" w:eastAsia="方正仿宋简体"/>
          <w:sz w:val="30"/>
          <w:szCs w:val="30"/>
        </w:rPr>
        <w:t>为锭。每锭重量为6KG</w:t>
      </w:r>
      <w:r>
        <w:rPr>
          <w:rFonts w:hint="eastAsia" w:ascii="方正仿宋简体" w:hAnsi="Times New Roman" w:eastAsia="方正仿宋简体"/>
          <w:sz w:val="30"/>
          <w:szCs w:val="30"/>
        </w:rPr>
        <w:t>±</w:t>
      </w:r>
      <w:r>
        <w:rPr>
          <w:rFonts w:ascii="Times New Roman" w:hAnsi="Times New Roman" w:eastAsia="方正仿宋简体"/>
          <w:sz w:val="30"/>
          <w:szCs w:val="30"/>
        </w:rPr>
        <w:t>1KG。</w:t>
      </w:r>
    </w:p>
    <w:p w14:paraId="21925B25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3、每一标准仓单的铸造铝合金，应当是</w:t>
      </w:r>
      <w:r>
        <w:rPr>
          <w:rFonts w:hint="eastAsia" w:ascii="Times New Roman" w:hAnsi="Times New Roman" w:eastAsia="方正仿宋简体"/>
          <w:sz w:val="30"/>
          <w:szCs w:val="30"/>
        </w:rPr>
        <w:t>交易</w:t>
      </w:r>
      <w:r>
        <w:rPr>
          <w:rFonts w:ascii="Times New Roman" w:hAnsi="Times New Roman" w:eastAsia="方正仿宋简体"/>
          <w:sz w:val="30"/>
          <w:szCs w:val="30"/>
        </w:rPr>
        <w:t>所批准的注册品牌，应当附有质量证明书。</w:t>
      </w:r>
      <w:r>
        <w:rPr>
          <w:rFonts w:ascii="Times New Roman" w:hAnsi="Times New Roman" w:eastAsia="方正仿宋简体"/>
          <w:sz w:val="30"/>
          <w:szCs w:val="30"/>
        </w:rPr>
        <w:tab/>
      </w:r>
    </w:p>
    <w:p w14:paraId="735A9DFD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4、每一标准仓单的铸造铝合金，应当是同一生产企业生产、同一牌号、同一注册商标、同一块形、同一包装数量（捆重近似）的商品组成，并且组成每一标准仓单的铸造铝合金生产日期应当不超过连续60日，且以最早日期作为该标准仓单的生产日期。</w:t>
      </w:r>
    </w:p>
    <w:p w14:paraId="153F4560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5、铸造铝合金交割以净重进行计量。每一标准仓单的溢短不超过</w:t>
      </w:r>
      <w:r>
        <w:rPr>
          <w:rFonts w:hint="eastAsia" w:ascii="方正仿宋简体" w:hAnsi="Times New Roman" w:eastAsia="方正仿宋简体"/>
          <w:sz w:val="30"/>
          <w:szCs w:val="30"/>
        </w:rPr>
        <w:t>±</w:t>
      </w:r>
      <w:r>
        <w:rPr>
          <w:rFonts w:ascii="Times New Roman" w:hAnsi="Times New Roman" w:eastAsia="方正仿宋简体"/>
          <w:sz w:val="30"/>
          <w:szCs w:val="30"/>
        </w:rPr>
        <w:t>3%，磅差不超过</w:t>
      </w:r>
      <w:r>
        <w:rPr>
          <w:rFonts w:hint="eastAsia" w:ascii="方正仿宋简体" w:hAnsi="仿宋" w:eastAsia="方正仿宋简体"/>
          <w:sz w:val="30"/>
          <w:szCs w:val="30"/>
        </w:rPr>
        <w:t>±</w:t>
      </w:r>
      <w:r>
        <w:rPr>
          <w:rFonts w:ascii="Times New Roman" w:hAnsi="Times New Roman" w:eastAsia="方正仿宋简体"/>
          <w:sz w:val="30"/>
          <w:szCs w:val="30"/>
        </w:rPr>
        <w:t>0.1%。</w:t>
      </w:r>
    </w:p>
    <w:p w14:paraId="18EC0E26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6、标准仓单应当由交易所交割仓库按规定验收合格后出具。</w:t>
      </w:r>
    </w:p>
    <w:p w14:paraId="260BBE28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 w14:paraId="67E06764">
      <w:pPr>
        <w:spacing w:line="560" w:lineRule="exact"/>
        <w:ind w:firstLine="600" w:firstLineChars="200"/>
        <w:rPr>
          <w:rFonts w:ascii="方正黑体简体" w:hAnsi="Times New Roman" w:eastAsia="方正黑体简体"/>
          <w:sz w:val="30"/>
          <w:szCs w:val="30"/>
        </w:rPr>
      </w:pPr>
      <w:r>
        <w:rPr>
          <w:rFonts w:ascii="方正黑体简体" w:hAnsi="Times New Roman" w:eastAsia="方正黑体简体"/>
          <w:sz w:val="30"/>
          <w:szCs w:val="30"/>
        </w:rPr>
        <w:t>三、交易所认可的生产企业和注册品牌</w:t>
      </w:r>
    </w:p>
    <w:p w14:paraId="5F36BBE9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用于实物交割的铸造铝合金，应当是在交易所注册的品牌。具体的注册品牌和升贴水标准，由交易所另行规定并公告。</w:t>
      </w:r>
    </w:p>
    <w:p w14:paraId="69A031E8">
      <w:pPr>
        <w:spacing w:line="560" w:lineRule="exact"/>
        <w:ind w:firstLine="600" w:firstLineChars="200"/>
        <w:rPr>
          <w:rFonts w:ascii="方正黑体简体" w:hAnsi="Times New Roman" w:eastAsia="方正黑体简体"/>
          <w:sz w:val="30"/>
          <w:szCs w:val="30"/>
        </w:rPr>
      </w:pPr>
      <w:r>
        <w:rPr>
          <w:rFonts w:ascii="方正黑体简体" w:hAnsi="Times New Roman" w:eastAsia="方正黑体简体"/>
          <w:sz w:val="30"/>
          <w:szCs w:val="30"/>
        </w:rPr>
        <w:t>四、交割仓库</w:t>
      </w:r>
    </w:p>
    <w:p w14:paraId="6B720932"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由交易所另行公告，异地交割仓库升贴水标准由交易所规定并公告。</w:t>
      </w:r>
    </w:p>
    <w:p w14:paraId="2EA1B05E"/>
    <w:p w14:paraId="54350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3964701"/>
      <w:docPartObj>
        <w:docPartGallery w:val="AutoText"/>
      </w:docPartObj>
    </w:sdtPr>
    <w:sdtContent>
      <w:p w14:paraId="6A2E4E3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7281A7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BA"/>
    <w:rsid w:val="00301310"/>
    <w:rsid w:val="003E77BA"/>
    <w:rsid w:val="008F706E"/>
    <w:rsid w:val="00FC266F"/>
    <w:rsid w:val="4AD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SHFE</Company>
  <Pages>3</Pages>
  <Words>787</Words>
  <Characters>857</Characters>
  <Lines>6</Lines>
  <Paragraphs>1</Paragraphs>
  <TotalTime>2</TotalTime>
  <ScaleCrop>false</ScaleCrop>
  <LinksUpToDate>false</LinksUpToDate>
  <CharactersWithSpaces>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2025-05-22T05:54:00Z</dcterms:created>
  <dc:creator>季铄人</dc:creator>
  <cp:lastModifiedBy>陈菁</cp:lastModifiedBy>
  <dcterms:modified xsi:type="dcterms:W3CDTF">2025-05-30T01:18:53Z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eyJoZGlkIjoiMzZhM2VmZjJlZWY5ZDZhYjc1MmY1NzNmNTllZmI0MjkiLCJ1c2VySWQiOiIxNjQ5OTEwODk4In0=</vt:lpwstr>
  </property>
  <property fmtid="{D5CDD505-2E9C-101B-9397-08002B2CF9AE}" pid="3" name="KSOProductBuildVer">
    <vt:lpwstr>2052-12.1.0.20784</vt:lpwstr>
  </property>
  <property fmtid="{D5CDD505-2E9C-101B-9397-08002B2CF9AE}" pid="4" name="ICV">
    <vt:lpwstr>000674FB33F24E91AF48995338E70751_12</vt:lpwstr>
  </property>
</Properties>
</file>