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804"/>
        </w:tabs>
        <w:spacing w:before="312" w:beforeLines="100" w:after="312" w:afterLines="100" w:line="480" w:lineRule="auto"/>
        <w:rPr>
          <w:rFonts w:ascii="黑体" w:hAnsi="宋体" w:eastAsia="黑体"/>
          <w:color w:val="FFFFFF"/>
          <w:sz w:val="28"/>
          <w:szCs w:val="28"/>
          <w:lang w:val="en-US"/>
        </w:rPr>
      </w:pPr>
      <w:r>
        <w:rPr>
          <w:rFonts w:ascii="黑体" w:hAnsi="宋体" w:eastAsia="黑体"/>
          <w:color w:val="FFFFFF"/>
          <w:sz w:val="28"/>
          <w:szCs w:val="28"/>
        </w:rPr>
        <w:pict>
          <v:shape id="未知" o:spid="_x0000_s1026" o:spt="100" style="position:absolute;left:0pt;margin-left:-52.75pt;margin-top:93pt;height:39.7pt;width:657pt;mso-position-horizontal-relative:page;mso-position-vertical-relative:page;z-index:-251658240;mso-width-relative:page;mso-height-relative:page;" fillcolor="#CC0000" filled="t" stroked="f" coordsize="10880,453" o:gfxdata="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CAatv83AAAAA0BAAAPAAAAAAAAAAEAIAAAACIAAABk&#10;cnMvZG93bnJldi54bWxQSwECFAAUAAAACACHTuJAR0Ky4uYCAABrBwAADgAAAAAAAAABACAAAAAr&#10;AQAAZHJzL2Uyb0RvYy54bWxQSwUGAAAAAAYABgBZAQAAgwYAAAAA&#10;" adj="," path="m0,0l0,453,10880,453,10880,0,0,0xe">
            <v:path o:connecttype="segments" o:connectlocs="0,0;0,504190;8343900,504190;8343900,0;0,0" o:connectangles="0,0,0,0,0"/>
            <v:fill on="t" opacity="48497f" focussize="0,0"/>
            <v:stroke on="f" joinstyle="round"/>
            <v:imagedata o:title=""/>
            <o:lock v:ext="edit"/>
          </v:shape>
        </w:pict>
      </w:r>
      <w:r>
        <w:rPr>
          <w:rFonts w:hint="eastAsia" w:ascii="黑体" w:hAnsi="宋体" w:eastAsia="黑体"/>
          <w:color w:val="FFFFFF"/>
          <w:sz w:val="28"/>
          <w:szCs w:val="28"/>
        </w:rPr>
        <w:t xml:space="preserve">研究院              电话：0571-85058093             </w:t>
      </w:r>
      <w:r>
        <w:rPr>
          <w:rFonts w:ascii="黑体" w:hAnsi="宋体" w:eastAsia="黑体"/>
          <w:color w:val="FFFFFF"/>
          <w:sz w:val="28"/>
          <w:szCs w:val="28"/>
        </w:rPr>
        <w:t xml:space="preserve">  </w:t>
      </w:r>
      <w:r>
        <w:rPr>
          <w:rFonts w:hint="eastAsia" w:ascii="黑体" w:hAnsi="宋体" w:eastAsia="黑体"/>
          <w:color w:val="FFFFFF"/>
          <w:sz w:val="28"/>
          <w:szCs w:val="28"/>
        </w:rPr>
        <w:t xml:space="preserve"> </w:t>
      </w:r>
      <w:r>
        <w:rPr>
          <w:rFonts w:hint="eastAsia" w:ascii="黑体" w:hAnsi="黑体" w:eastAsia="黑体"/>
          <w:color w:val="FFFFFF"/>
          <w:sz w:val="28"/>
          <w:szCs w:val="28"/>
        </w:rPr>
        <w:t>2017-1</w:t>
      </w:r>
      <w:r>
        <w:rPr>
          <w:rFonts w:hint="eastAsia" w:ascii="黑体" w:hAnsi="黑体" w:eastAsia="黑体"/>
          <w:color w:val="FFFFFF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color w:val="FFFFFF"/>
          <w:sz w:val="28"/>
          <w:szCs w:val="28"/>
        </w:rPr>
        <w:t>-</w:t>
      </w:r>
      <w:r>
        <w:rPr>
          <w:rFonts w:hint="eastAsia" w:ascii="黑体" w:hAnsi="黑体" w:eastAsia="黑体"/>
          <w:color w:val="FFFFFF"/>
          <w:sz w:val="28"/>
          <w:szCs w:val="28"/>
          <w:lang w:val="en-US" w:eastAsia="zh-CN"/>
        </w:rPr>
        <w:t>17</w:t>
      </w:r>
    </w:p>
    <w:p>
      <w:pPr>
        <w:spacing w:before="156" w:beforeLines="50" w:after="156" w:afterLines="5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策略周报</w:t>
      </w:r>
    </w:p>
    <w:p>
      <w:pPr>
        <w:spacing w:line="360" w:lineRule="auto"/>
        <w:rPr>
          <w:b/>
          <w:bCs/>
          <w:szCs w:val="21"/>
        </w:rPr>
      </w:pPr>
      <w:r>
        <w:rPr>
          <w:rFonts w:hint="eastAsia" w:eastAsiaTheme="minorEastAsia"/>
          <w:b/>
          <w:sz w:val="28"/>
          <w:szCs w:val="21"/>
        </w:rPr>
        <w:t>黑色板块</w:t>
      </w:r>
    </w:p>
    <w:p>
      <w:pPr>
        <w:widowControl/>
        <w:spacing w:line="360" w:lineRule="auto"/>
        <w:ind w:firstLine="422" w:firstLine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螺纹：</w:t>
      </w:r>
      <w:r>
        <w:rPr>
          <w:rFonts w:hint="eastAsia"/>
          <w:b w:val="0"/>
          <w:bCs w:val="0"/>
          <w:szCs w:val="21"/>
        </w:rPr>
        <w:t>12月11日到12月15日期间上海螺纹钢下跌了100元/吨，至4800元/吨。预估12月份中上旬钢材需求依旧会处于高位，需求下滑可能要等到12月底。成本端只考虑焦炭和铁矿的话，螺纹参考上海的价格，螺纹的利润从12月11到12月15日下降了153.252元/吨。需求处于高位，成本端也开始上涨的情况下，建议12月中上旬做多为主，在需求下滑之前没有必要做空。</w:t>
      </w:r>
    </w:p>
    <w:p>
      <w:pPr>
        <w:widowControl/>
        <w:spacing w:line="360" w:lineRule="auto"/>
        <w:ind w:firstLine="422" w:firstLineChars="2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铁矿石：</w:t>
      </w:r>
      <w:r>
        <w:rPr>
          <w:rFonts w:hint="eastAsia"/>
          <w:b w:val="0"/>
          <w:bCs w:val="0"/>
          <w:szCs w:val="21"/>
        </w:rPr>
        <w:t>铁矿作为炼钢的原材料，需求上和钢的需求基本同步或者略滞后于钢的需求，但是也要考虑到钢厂购买原材料的行为，受钢厂信心和预期的影响，原材料的需求可能提前或者滞后，而且会在一定程度上较钢材的需求更平滑，但是如果钢厂预期出错也可能预期短期内价格的急涨急跌。在预期12月上中旬需求较高的情况下，对铁矿的需求将会开始显现，建议做多为主。上周青岛港澳大利亚PB粉61.5%品味上涨2至509元/吨。风险：需求分析目前只能对国内需求进行研判，对其他国家的需求缺乏较合理的预测体系，因此需要注意风险防范。</w:t>
      </w:r>
    </w:p>
    <w:p>
      <w:pPr>
        <w:widowControl/>
        <w:spacing w:line="360" w:lineRule="auto"/>
        <w:ind w:firstLine="422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b/>
          <w:szCs w:val="21"/>
        </w:rPr>
        <w:t>双焦</w:t>
      </w:r>
      <w:r>
        <w:rPr>
          <w:rFonts w:hint="eastAsia"/>
          <w:b/>
          <w:szCs w:val="21"/>
          <w:lang w:eastAsia="zh-CN"/>
        </w:rPr>
        <w:t>：</w:t>
      </w:r>
      <w:r>
        <w:rPr>
          <w:rFonts w:hint="eastAsia"/>
          <w:b w:val="0"/>
          <w:bCs w:val="0"/>
          <w:szCs w:val="21"/>
          <w:lang w:val="en-US" w:eastAsia="zh-CN"/>
        </w:rPr>
        <w:t>本周双焦走出一个小w底，先抑后扬。</w:t>
      </w:r>
      <w:r>
        <w:rPr>
          <w:rFonts w:hint="eastAsia"/>
          <w:b w:val="0"/>
          <w:bCs w:val="0"/>
          <w:szCs w:val="21"/>
        </w:rPr>
        <w:t>现货上，</w:t>
      </w:r>
      <w:r>
        <w:rPr>
          <w:rFonts w:hint="eastAsia"/>
          <w:b w:val="0"/>
          <w:bCs w:val="0"/>
          <w:szCs w:val="21"/>
          <w:lang w:val="en-US" w:eastAsia="zh-CN"/>
        </w:rPr>
        <w:t>焦煤</w:t>
      </w:r>
      <w:r>
        <w:rPr>
          <w:rFonts w:hint="eastAsia"/>
          <w:b w:val="0"/>
          <w:bCs w:val="0"/>
          <w:szCs w:val="21"/>
        </w:rPr>
        <w:t>现货</w:t>
      </w:r>
      <w:r>
        <w:rPr>
          <w:rFonts w:hint="eastAsia"/>
          <w:b w:val="0"/>
          <w:bCs w:val="0"/>
          <w:szCs w:val="21"/>
          <w:lang w:val="en-US" w:eastAsia="zh-CN"/>
        </w:rPr>
        <w:t>坚挺</w:t>
      </w:r>
      <w:r>
        <w:rPr>
          <w:rFonts w:hint="eastAsia"/>
          <w:b w:val="0"/>
          <w:bCs w:val="0"/>
          <w:szCs w:val="21"/>
        </w:rPr>
        <w:t>，焦炭现货价格五连涨</w:t>
      </w:r>
      <w:r>
        <w:rPr>
          <w:rFonts w:hint="eastAsia"/>
          <w:b w:val="0"/>
          <w:bCs w:val="0"/>
          <w:szCs w:val="21"/>
          <w:lang w:eastAsia="zh-CN"/>
        </w:rPr>
        <w:t>，</w:t>
      </w:r>
      <w:r>
        <w:rPr>
          <w:rFonts w:hint="eastAsia"/>
          <w:b w:val="0"/>
          <w:bCs w:val="0"/>
          <w:szCs w:val="21"/>
          <w:lang w:val="en-US" w:eastAsia="zh-CN"/>
        </w:rPr>
        <w:t>总共涨了500元</w:t>
      </w:r>
      <w:r>
        <w:rPr>
          <w:rFonts w:hint="eastAsia"/>
          <w:b w:val="0"/>
          <w:bCs w:val="0"/>
          <w:szCs w:val="21"/>
        </w:rPr>
        <w:t>。</w:t>
      </w:r>
      <w:r>
        <w:rPr>
          <w:rFonts w:hint="eastAsia"/>
          <w:b w:val="0"/>
          <w:bCs w:val="0"/>
          <w:szCs w:val="21"/>
          <w:lang w:val="en-US" w:eastAsia="zh-CN"/>
        </w:rPr>
        <w:t>煤矿检修增多，产量受限，补库因素对价格有支撑。焦化厂限产加强，钢厂接受度良好，</w:t>
      </w:r>
      <w:r>
        <w:rPr>
          <w:rFonts w:hint="eastAsia"/>
          <w:b w:val="0"/>
          <w:bCs w:val="0"/>
          <w:szCs w:val="21"/>
        </w:rPr>
        <w:t>前期亏损的焦化厂，利润已经转正。对于双焦交割月都是贴水交割，后期现货比期货相对强势是常态。J1805合约对应的是采暖季结束后钢厂的复产时期，对于焦炭的需求也会上来。建议投资者J1805阶段性做多，跌破1920止损。谨慎投资者继续多焦炭空焦煤对冲操作。</w:t>
      </w:r>
    </w:p>
    <w:p>
      <w:pPr>
        <w:widowControl/>
        <w:spacing w:line="360" w:lineRule="auto"/>
        <w:ind w:firstLine="422" w:firstLineChars="200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动力煤</w:t>
      </w:r>
      <w:r>
        <w:rPr>
          <w:rFonts w:ascii="宋体" w:hAnsi="宋体" w:cs="宋体"/>
          <w:b/>
          <w:kern w:val="0"/>
          <w:szCs w:val="21"/>
        </w:rPr>
        <w:t>：</w:t>
      </w:r>
      <w:r>
        <w:rPr>
          <w:rFonts w:hint="eastAsia"/>
          <w:b w:val="0"/>
          <w:bCs w:val="0"/>
          <w:szCs w:val="21"/>
          <w:lang w:val="en-US" w:eastAsia="zh-CN"/>
        </w:rPr>
        <w:t>本周动力煤期货盘面整体呈现重心上移态势，</w:t>
      </w:r>
      <w:r>
        <w:rPr>
          <w:rFonts w:hint="eastAsia"/>
          <w:b w:val="0"/>
          <w:bCs w:val="0"/>
          <w:szCs w:val="21"/>
        </w:rPr>
        <w:t>沿海市场仍处在库存下降</w:t>
      </w:r>
      <w:r>
        <w:rPr>
          <w:rFonts w:hint="eastAsia"/>
          <w:b w:val="0"/>
          <w:bCs w:val="0"/>
          <w:szCs w:val="21"/>
          <w:lang w:eastAsia="zh-CN"/>
        </w:rPr>
        <w:t>，</w:t>
      </w:r>
      <w:r>
        <w:rPr>
          <w:rFonts w:hint="eastAsia"/>
          <w:b w:val="0"/>
          <w:bCs w:val="0"/>
          <w:szCs w:val="21"/>
        </w:rPr>
        <w:t>价格上涨阶段，沿海下游日耗量季节性回升至70万吨以上，港口部分煤种货源偏紧，价格继续上涨。内陆地区供应仍是偏宽松</w:t>
      </w:r>
      <w:r>
        <w:rPr>
          <w:rFonts w:hint="eastAsia"/>
          <w:b w:val="0"/>
          <w:bCs w:val="0"/>
          <w:szCs w:val="21"/>
          <w:lang w:eastAsia="zh-CN"/>
        </w:rPr>
        <w:t>，</w:t>
      </w:r>
      <w:r>
        <w:rPr>
          <w:rFonts w:hint="eastAsia"/>
          <w:b w:val="0"/>
          <w:bCs w:val="0"/>
          <w:szCs w:val="21"/>
        </w:rPr>
        <w:t>受主产地供应量大，内陆下游库存偏高影响，内陆市场表现或维持偏弱状态。汽运煤已被禁止集港</w:t>
      </w:r>
      <w:r>
        <w:rPr>
          <w:rFonts w:hint="eastAsia"/>
          <w:b w:val="0"/>
          <w:bCs w:val="0"/>
          <w:szCs w:val="21"/>
          <w:lang w:eastAsia="zh-CN"/>
        </w:rPr>
        <w:t>，</w:t>
      </w:r>
      <w:r>
        <w:rPr>
          <w:rFonts w:hint="eastAsia"/>
          <w:b w:val="0"/>
          <w:bCs w:val="0"/>
          <w:szCs w:val="21"/>
        </w:rPr>
        <w:t>受运输瓶颈以及下游需求季节性回升带动，沿海市场或进一步走强；</w:t>
      </w:r>
      <w:r>
        <w:rPr>
          <w:rFonts w:hint="eastAsia"/>
          <w:b w:val="0"/>
          <w:bCs w:val="0"/>
          <w:szCs w:val="21"/>
          <w:lang w:val="en-US" w:eastAsia="zh-CN"/>
        </w:rPr>
        <w:t>现货方面，</w:t>
      </w:r>
      <w:r>
        <w:rPr>
          <w:rFonts w:hint="eastAsia"/>
          <w:b w:val="0"/>
          <w:bCs w:val="0"/>
          <w:szCs w:val="21"/>
        </w:rPr>
        <w:t>北方港5000大卡货源仍偏紧，成交价620元/吨左右；5500大卡成交价690~695元/吨，部分供应商报价700元/吨，5000大卡及5500大卡市场价格周环比上涨5~10元/吨</w:t>
      </w:r>
      <w:r>
        <w:rPr>
          <w:rFonts w:hint="eastAsia"/>
          <w:b w:val="0"/>
          <w:bCs w:val="0"/>
          <w:szCs w:val="21"/>
          <w:lang w:eastAsia="zh-CN"/>
        </w:rPr>
        <w:t>，</w:t>
      </w:r>
      <w:r>
        <w:rPr>
          <w:rFonts w:hint="eastAsia"/>
          <w:b w:val="0"/>
          <w:bCs w:val="0"/>
          <w:szCs w:val="21"/>
          <w:lang w:val="en-US" w:eastAsia="zh-CN"/>
        </w:rPr>
        <w:t>现货市场稳中上涨。动力煤5月合约探底回升，盘面看动力煤期货近远期合约走势分化，1月合约走向交割行情，5月合约偏强震荡，短期可以继续持有1月合约的多单，下周或者月底前离场。</w:t>
      </w:r>
    </w:p>
    <w:p>
      <w:pPr>
        <w:spacing w:line="360" w:lineRule="auto"/>
        <w:rPr>
          <w:rFonts w:eastAsiaTheme="minorEastAsia"/>
          <w:b/>
          <w:sz w:val="28"/>
          <w:szCs w:val="21"/>
        </w:rPr>
      </w:pPr>
      <w:r>
        <w:rPr>
          <w:rFonts w:eastAsiaTheme="minorEastAsia"/>
          <w:b/>
          <w:sz w:val="28"/>
          <w:szCs w:val="21"/>
        </w:rPr>
        <w:t>有色金属板块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both"/>
        <w:textAlignment w:val="auto"/>
        <w:outlineLvl w:val="9"/>
        <w:rPr>
          <w:b w:val="0"/>
          <w:bCs w:val="0"/>
          <w:szCs w:val="21"/>
        </w:rPr>
      </w:pPr>
      <w:r>
        <w:rPr>
          <w:b/>
          <w:bCs/>
          <w:szCs w:val="21"/>
        </w:rPr>
        <w:t>沪铜：</w:t>
      </w:r>
      <w:r>
        <w:rPr>
          <w:b w:val="0"/>
          <w:bCs w:val="0"/>
          <w:szCs w:val="21"/>
        </w:rPr>
        <w:t>本周沪铜反弹，本周主力合约1801上涨2.26%，周收盘价报于52840元/吨。本周沪铜库存减少16016吨至 142129吨，降幅约10.13%，创下六周低位。本周伦铜大幅反弹4.92%，报收6901美元/吨。本周伦铜库存小幅增加，周累计增加库存量50公吨至195200公吨，累计增幅为0.03%。本周现货铜价连续上涨，长江现货铜周均价报52126元/吨，日均上涨226元/吨，周线上涨2.20%。消息方面，智利的Quebrada Blanca铜矿周三开展罢工，且复产时间暂时不明。智利北部的国营Hernan Videla Lira冶炼厂工人举行罢工，导致生产运作停止。该冶炼厂位于富产铜的Atacama地区，能够每年加工340,000吨原料，其去年生产了84,516吨阳极铜。综合看，本周国内库存大减10%创下六周低位，境外大型铜矿接连爆发罢工助推市场供应忧虑升温，周内铜市做多氛围浓厚，沪铜多单可以继续持有。</w:t>
      </w:r>
    </w:p>
    <w:p>
      <w:pPr>
        <w:widowControl/>
        <w:spacing w:line="360" w:lineRule="auto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沪铝：</w:t>
      </w:r>
      <w:r>
        <w:rPr>
          <w:rFonts w:hint="eastAsia"/>
          <w:b w:val="0"/>
          <w:bCs w:val="0"/>
          <w:szCs w:val="21"/>
        </w:rPr>
        <w:t>本周沪铜反弹，本周主力合约1801上涨2.26%，周收盘价报于52840元/吨。本周沪铜库存减少16016吨至 142129吨，降幅约10.13%，创下六周低位。本周伦铜大幅反弹4.92%，报收6901美元/吨。本周伦铜库存小幅增加，周累计增加库存量50公吨至195200公吨，累计增幅为0.03%。本周现货铜价连续上涨，长江现货铜周均价报52126元/吨，日均上涨226元/吨，周线上涨2.20%。消息方面，智利的Quebrada Blanca铜矿周三开展罢工，且复产时间暂时不明。智利北部的国营Hernan Videla Lira冶炼厂工人举行罢工，导致生产运作停止。该冶炼厂位于富产铜的Atacama地区，能够每年加工340,000吨原料，其去年生产了84,516吨阳极铜。综合看，本周国内库存大减10%创下六周低位，境外大型铜矿接连爆发罢工助推市场供应忧虑升温，周内铜市做多氛围浓厚，沪铜多单可以继续持有。</w:t>
      </w:r>
    </w:p>
    <w:p>
      <w:pPr>
        <w:spacing w:line="360" w:lineRule="auto"/>
        <w:rPr>
          <w:rFonts w:eastAsiaTheme="minorEastAsia"/>
          <w:b/>
          <w:sz w:val="28"/>
          <w:szCs w:val="21"/>
        </w:rPr>
      </w:pPr>
      <w:r>
        <w:rPr>
          <w:rFonts w:hint="eastAsia" w:eastAsiaTheme="minorEastAsia"/>
          <w:b/>
          <w:sz w:val="28"/>
          <w:szCs w:val="21"/>
        </w:rPr>
        <w:t>化工品板块</w:t>
      </w:r>
    </w:p>
    <w:p>
      <w:pPr>
        <w:spacing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>本周化工品多数窄幅震荡，部分品种有转弱迹象。前期较为坚挺的甲醇、PTA略有调整，橡胶则受市场消息影响较为抗跌，化工品上游原油价格走势也偏震荡。从走势上看，多数品种偏震荡，尚无明显趋势性行情，操作上偏谨慎观望，等待行情进一步明朗。</w:t>
      </w:r>
    </w:p>
    <w:p>
      <w:pPr>
        <w:spacing w:line="360" w:lineRule="auto"/>
        <w:ind w:firstLine="420"/>
        <w:rPr>
          <w:color w:val="000000"/>
        </w:rPr>
      </w:pPr>
      <w:r>
        <w:rPr>
          <w:rFonts w:ascii="宋体" w:hAnsi="宋体" w:cs="宋体"/>
          <w:b/>
          <w:kern w:val="0"/>
          <w:szCs w:val="21"/>
        </w:rPr>
        <w:t>原油：</w:t>
      </w:r>
      <w:r>
        <w:rPr>
          <w:rFonts w:hint="eastAsia" w:ascii="宋体" w:hAnsi="宋体" w:cs="宋体"/>
          <w:kern w:val="0"/>
          <w:szCs w:val="21"/>
        </w:rPr>
        <w:t>本周油价高位窄幅震荡。周二</w:t>
      </w:r>
      <w:r>
        <w:rPr>
          <w:rFonts w:hint="eastAsia"/>
          <w:color w:val="000000"/>
        </w:rPr>
        <w:t>市场仍受北海油田输油管道故障的扰动，油价盘中一度因为恐慌大涨，而后EIA月报预计美国产量将继续上涨，翻转了走势。北海油管目前正在积极抢修，还需要继续关闭三周进行维修，按照每日减少45万桶的原油供应量，市场可能减少约800-900万桶原油。油管事件属于突发状况，市场依然关注美国供应端的表现。截止12月8日当周，美国原油库存量4.42986亿桶，比前一周下降512万桶；美国汽油库存总量2.26546亿桶，比前一周增长566万桶；馏分油库存量为1.28076亿桶，比前一周下降137万桶。原油库存比去年同期低8.3%；汽油库存比去年同期低1.5%；馏份油库存比去年同期低17.9%。尽管美国原油库存下降，但是产量持续增长至接近历史高点，且成品油库存增加，国际油价走势有所转弱。预计下周国际油价走势偏弱震荡。</w:t>
      </w:r>
    </w:p>
    <w:p>
      <w:pPr>
        <w:spacing w:line="360" w:lineRule="auto"/>
        <w:ind w:firstLine="405"/>
        <w:rPr>
          <w:color w:val="000000"/>
        </w:rPr>
      </w:pPr>
      <w:r>
        <w:rPr>
          <w:rFonts w:ascii="宋体" w:hAnsi="宋体" w:cs="宋体"/>
          <w:b/>
          <w:kern w:val="0"/>
          <w:szCs w:val="21"/>
        </w:rPr>
        <w:t>沥青：</w:t>
      </w:r>
      <w:r>
        <w:rPr>
          <w:rFonts w:hint="eastAsia"/>
        </w:rPr>
        <w:t>本周</w:t>
      </w:r>
      <w:r>
        <w:rPr>
          <w:rFonts w:hint="eastAsia"/>
          <w:color w:val="000000"/>
        </w:rPr>
        <w:t>沥青期价格偏弱震荡，现货走势较为坚挺，华东价格持稳在2600元/吨左右。山东地炼，如东明石化、滨阳燃化本周转产渣油，沥青主销库存；京博石化正常开工，主供前期合同。</w:t>
      </w:r>
      <w:r>
        <w:rPr>
          <w:rFonts w:hint="eastAsia" w:ascii="宋体" w:hAnsi="宋体"/>
        </w:rPr>
        <w:t>长三角地区：区内重交沥青涨后持稳，因大部分炼厂除了供应当地工程外，有销往西南或者出口，沥青资源分流较好，使得整体库存水平一般。</w:t>
      </w:r>
      <w:r>
        <w:rPr>
          <w:rFonts w:hint="eastAsia"/>
          <w:color w:val="000000"/>
        </w:rPr>
        <w:t>12月份国内沥青需求进一步走弱，华东、华南为主要需求地区，区域内炼厂开工负荷处于高位，因而随着供应量继续增加且北方地区资源流向南方市场，重交沥青供大于求较为突出。从成本端，目前油价处于高位仍在成本端支撑沥青价格，后市原油或出现回落，沥青跟跌的可能性比较大。操作上，建议偏空思路。</w:t>
      </w:r>
    </w:p>
    <w:p>
      <w:pPr>
        <w:spacing w:afterLines="50" w:line="360" w:lineRule="auto"/>
        <w:ind w:firstLine="422" w:firstLineChars="200"/>
        <w:rPr>
          <w:rFonts w:hint="eastAsia"/>
          <w:bCs/>
        </w:rPr>
      </w:pPr>
      <w:r>
        <w:rPr>
          <w:rFonts w:ascii="宋体" w:hAnsi="宋体" w:cs="宋体"/>
          <w:b/>
          <w:kern w:val="0"/>
          <w:szCs w:val="21"/>
        </w:rPr>
        <w:t>PTA：</w:t>
      </w:r>
      <w:r>
        <w:rPr>
          <w:rFonts w:hint="eastAsia" w:ascii="宋体" w:hAnsi="宋体" w:cs="宋体"/>
          <w:kern w:val="0"/>
          <w:szCs w:val="21"/>
        </w:rPr>
        <w:t>本周</w:t>
      </w:r>
      <w:r>
        <w:rPr>
          <w:rFonts w:hint="eastAsia" w:ascii="宋体" w:hAnsi="宋体" w:cs="宋体"/>
          <w:bCs/>
          <w:kern w:val="0"/>
        </w:rPr>
        <w:t>PTA期价小幅调整，伴随汉邦220万吨装置的重启，且桐昆新装置已有110万吨进入试车状态，在供应增加的预期下，市场价格有所回落。</w:t>
      </w:r>
      <w:r>
        <w:rPr>
          <w:rFonts w:ascii="宋体" w:hAnsi="宋体" w:cs="宋体"/>
          <w:bCs/>
          <w:kern w:val="0"/>
        </w:rPr>
        <w:t>装置方面，</w:t>
      </w:r>
      <w:r>
        <w:rPr>
          <w:rFonts w:hint="eastAsia" w:ascii="宋体" w:hAnsi="宋体" w:cs="宋体"/>
          <w:bCs/>
          <w:kern w:val="0"/>
        </w:rPr>
        <w:t>桐昆石化220万吨/年装置，其中110万吨于12月14日进入试车状态，15日投料；江阴汉邦2#220万吨装置于12月3日因故停车，目前12月10日升温重启，于12月11日出料；逸盛宁波70万吨装置于周末意外停车，具体重启时间待定；扬子石化65万吨PTA装置于11月25日临时停车检修，原计划时间20天左右，现推迟至1月中旬附近；</w:t>
      </w:r>
      <w:r>
        <w:rPr>
          <w:rFonts w:hint="eastAsia"/>
          <w:color w:val="000000"/>
        </w:rPr>
        <w:t>珠海BP 125万吨/年装置计划于12月18日停车检修，时间预计在10-15天附近。需求端，</w:t>
      </w:r>
      <w:r>
        <w:rPr>
          <w:rFonts w:hint="eastAsia" w:ascii="宋体" w:hAnsi="宋体" w:cs="宋体"/>
          <w:bCs/>
          <w:kern w:val="0"/>
        </w:rPr>
        <w:t>近期下游聚酯工厂需求偏弱转移，且产销出现下滑，尚有一定库存的情况下对TA需求利空偏弱。</w:t>
      </w:r>
      <w:r>
        <w:rPr>
          <w:rFonts w:hint="eastAsia"/>
          <w:color w:val="000000"/>
        </w:rPr>
        <w:t>利润方面，厂家平均利润在450元/吨，</w:t>
      </w:r>
      <w:r>
        <w:rPr>
          <w:rFonts w:hint="eastAsia" w:ascii="宋体" w:hAnsi="宋体" w:cs="宋体"/>
          <w:bCs/>
          <w:kern w:val="0"/>
        </w:rPr>
        <w:t>本周国内现货价格高位震荡，上游PX成本窄幅下行，使得TA厂家加工费继续处于高位，利润较前期继续上行。</w:t>
      </w:r>
      <w:r>
        <w:rPr>
          <w:rFonts w:hint="eastAsia"/>
          <w:bCs/>
        </w:rPr>
        <w:t>本月新装置投产不稳定因素较多，且老装置检修增多，供需端仍处于偏紧状态，从供需面看不建议做空该品种，不过上游原油展开调整之势，或将拖累PTA价格继续调整。操作上，仍保持中线偏多思路，短线调整暂且观望。</w:t>
      </w:r>
    </w:p>
    <w:p>
      <w:pPr>
        <w:spacing w:afterLines="50" w:line="360" w:lineRule="auto"/>
        <w:ind w:firstLine="422" w:firstLineChars="200"/>
      </w:pPr>
      <w:r>
        <w:rPr>
          <w:rFonts w:hint="eastAsia"/>
          <w:b/>
        </w:rPr>
        <w:t>橡胶：</w:t>
      </w:r>
      <w:r>
        <w:rPr>
          <w:rFonts w:hint="eastAsia"/>
        </w:rPr>
        <w:t>本周价格略有反弹，主要受到泰国减产挺价政策的带动。本周四市场消息：泰国农合社部称，该部正准备向内阁申请一项总金额高达186亿泰铢的预算案，以解决当前国内橡胶价格低迷所面临的突出问题。近期泰国政府挺价活动频繁，短期市场炒涨气氛仍存，但综合之前挺价措施的力度来看，市场人士对挺价活动长期并不看好。目前沪胶基本面仍不是很乐观，现货及期货库存充足，本周上海期货交易所库存大幅上涨，整体库存压力较大。本周轮胎开工有所回暖，从整体来看，环保督查仍压制着轮胎企业的整体开工，但由于月初环保压力减弱，部分厂家有重新开工或开工提升迹象。全钢胎开工率为68.02%，较上周上调0.81%；半钢胎开工率为67.84%，较上周提高5.27个点。综合来看，橡胶供需偏弱局面改善有限，反弹力度可能较弱，暂且观望为主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eastAsiaTheme="minorEastAsia"/>
          <w:b/>
          <w:sz w:val="28"/>
          <w:szCs w:val="21"/>
        </w:rPr>
      </w:pPr>
      <w:r>
        <w:rPr>
          <w:rFonts w:eastAsiaTheme="minorEastAsia"/>
          <w:b/>
          <w:sz w:val="28"/>
          <w:szCs w:val="21"/>
        </w:rPr>
        <w:t>农产品板块</w:t>
      </w:r>
    </w:p>
    <w:p>
      <w:pPr>
        <w:widowControl/>
        <w:spacing w:line="360" w:lineRule="auto"/>
        <w:ind w:firstLine="422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油脂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</w:rPr>
        <w:t>周末阿根廷大豆和玉米主产区下雨，这将给部分干旱的大豆产区带来一些缓解，将作物损失降至最低。阿根廷干燥的大豆产区仍是市场关注的重点。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据Cofeed最新调查显示，2017年12月份国内各港口进口大豆预报到港141船907.75万吨，较11月份的906.05万吨增长0.18%，较去年同期的899.6081万吨增长0.90%。而因当前大豆压榨利润良好，油厂开机积极性较高，上周压榨量达到198万吨，预计本周及下周油厂开机率将保持在高水平，预计大豆周度压榨量分别在197万吨、200万吨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豆油库存依旧居高不下，截止12月13日，国内豆油商业库存总量168万吨，较上周同期的168.92万吨降0.92万吨降幅为0.54%，较上个月同期的161.51万吨增6.49万吨增幅为4.02%，较去年同期的92.8万吨增75.2万吨增81.03%。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目前全国港口食用棕榈油库存总量53.86万，较昨日54.07万吨降0.3%，较上月同期的49.32万吨增4.54万吨，增幅9.2%。因前期进口利润略有改善，中国买家入市采购积极性明显提升，11月24度棕榈油37-38万吨，12月24度棕榈油40万吨）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国内油脂供给宽裕而春节前小包装备货因行情不好有所延迟，供大于求格局延续，预计油脂将延续震荡偏空格局。</w:t>
      </w:r>
    </w:p>
    <w:p>
      <w:pPr>
        <w:widowControl/>
        <w:spacing w:line="360" w:lineRule="auto"/>
        <w:ind w:firstLine="422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粕类：</w:t>
      </w:r>
      <w:r>
        <w:rPr>
          <w:rFonts w:hint="eastAsia" w:ascii="宋体" w:hAnsi="宋体" w:cs="宋体"/>
          <w:kern w:val="0"/>
          <w:szCs w:val="21"/>
        </w:rPr>
        <w:t>受南美作物前景改善以及美国大豆出口可能放慢的影响，豆价曾跌至三周多来的最低水平，预计短线美豆将维持偏弱震荡。国内后期大豆供应量较大，且当前大豆压榨仍有利可图，油厂开机积极性较高，豆粕产出量较高，而近期饲料企业大多随用随买，提货积极性也不高，油厂出货速度一般，令油厂豆粕库存连续四周上升，截止12月10日，国内沿海主要地区油厂豆粕总库存量72.75万吨，较上周的67.99万吨增4.76万吨，增幅7.00%，较去年同期37.1万吨增长96.09%，其中山东及华北、江苏部分油厂已胀库停机，部分油厂已经开始催提货，基本面仍偏空。不过，临近年底生猪养殖进入传统旺季，生猪育肥期内的饲料消费量趋增将限制豆粕下跌空间，近阶段国内豆粕或将以震荡偏弱为主。</w:t>
      </w:r>
    </w:p>
    <w:p>
      <w:pPr>
        <w:widowControl/>
        <w:spacing w:line="360" w:lineRule="auto"/>
        <w:ind w:firstLine="422" w:firstLineChars="200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白糖</w:t>
      </w:r>
      <w:r>
        <w:rPr>
          <w:rFonts w:hint="eastAsia" w:ascii="宋体" w:hAnsi="宋体" w:cs="宋体"/>
          <w:b/>
          <w:szCs w:val="21"/>
        </w:rPr>
        <w:t>：</w:t>
      </w:r>
      <w:r>
        <w:rPr>
          <w:rFonts w:hint="eastAsia"/>
          <w:b w:val="0"/>
          <w:bCs w:val="0"/>
          <w:szCs w:val="21"/>
          <w:lang w:val="en-US" w:eastAsia="zh-CN"/>
        </w:rPr>
        <w:t>本周郑糖合约SR805大幅回撤，开盘6181点，下跌3.53%或218点，报收于5961点。本周国际原糖ICE主力合约继续下跌，跌幅2.84%或0.40美分，报收于13.67美分，跌破14美分大关。</w:t>
      </w:r>
      <w:r>
        <w:rPr>
          <w:rFonts w:hint="eastAsia"/>
          <w:b w:val="0"/>
          <w:bCs w:val="0"/>
          <w:szCs w:val="21"/>
          <w:lang w:val="en-US" w:eastAsia="zh-CN"/>
        </w:rPr>
        <w:br w:type="textWrapping"/>
      </w:r>
      <w:r>
        <w:rPr>
          <w:rFonts w:hint="eastAsia"/>
          <w:b w:val="0"/>
          <w:bCs w:val="0"/>
          <w:szCs w:val="21"/>
          <w:lang w:val="en-US" w:eastAsia="zh-CN"/>
        </w:rPr>
        <w:t>国际食糖消息面，巴西糖业组织Unica报告显示，11月后半月，巴西中南部地区的糖产量为73. 40万吨，低于两周前的125. 6万吨，且较去年同期减少35%。11月下半月，巴西中南部地区共压榨甘蔗1522万吨，上半月压榨量为2334万吨，去年11月后半月为1968万吨。11月末巴西中南部糖厂的糖产量较去年同期大幅削减，因降雨减少甘蔗压榨量，且企业仍优先生产乙醇。</w:t>
      </w:r>
      <w:r>
        <w:rPr>
          <w:rFonts w:hint="eastAsia"/>
          <w:b w:val="0"/>
          <w:bCs w:val="0"/>
          <w:szCs w:val="21"/>
          <w:lang w:val="en-US" w:eastAsia="zh-CN"/>
        </w:rPr>
        <w:br w:type="textWrapping"/>
      </w:r>
      <w:r>
        <w:rPr>
          <w:rFonts w:hint="eastAsia"/>
          <w:b w:val="0"/>
          <w:bCs w:val="0"/>
          <w:szCs w:val="21"/>
          <w:lang w:val="en-US" w:eastAsia="zh-CN"/>
        </w:rPr>
        <w:t>印度糖厂协会(ISMA)周二称，10月1日至11月30日，印度糖厂累计产糖395万吨，较上年同期增逾42%,甘蔗供应增加使得今年开榨的糖厂更多。截至11月末，印度国内有443家糖厂开榨，上年同期则为393家。 年度为全球头号糖消费国。ISMA预计，2017/18市场年度（10月1日）该国糖产量料为2510万吨，足够满足国内需求。</w:t>
      </w:r>
      <w:r>
        <w:rPr>
          <w:rFonts w:hint="eastAsia"/>
          <w:b w:val="0"/>
          <w:bCs w:val="0"/>
          <w:szCs w:val="21"/>
          <w:lang w:val="en-US" w:eastAsia="zh-CN"/>
        </w:rPr>
        <w:br w:type="textWrapping"/>
      </w:r>
      <w:r>
        <w:rPr>
          <w:rFonts w:hint="eastAsia"/>
          <w:b w:val="0"/>
          <w:bCs w:val="0"/>
          <w:szCs w:val="21"/>
          <w:lang w:val="en-US" w:eastAsia="zh-CN"/>
        </w:rPr>
        <w:t xml:space="preserve">    另外，泰国2017/18榨季（11/10月）截至12月8日共计约30家糖厂开榨，产糖96376吨 ，同比增加7.7%。 </w:t>
      </w:r>
    </w:p>
    <w:p>
      <w:pPr>
        <w:widowControl/>
        <w:spacing w:line="360" w:lineRule="auto"/>
        <w:ind w:firstLine="420" w:firstLine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  <w:lang w:val="en-US" w:eastAsia="zh-CN"/>
        </w:rPr>
        <w:t>国内白糖消息面，截至2017年11月底，本制糖期重点制糖企业（集团）已累计加工糖料407.87万吨，累计产糖量为49.26万吨（上制糖期同期为47.64万吨）。重点制糖企业（集团）累计销售食糖17.57万吨（上制糖期同期为15.31万吨），累计销糖率35.67%（上制糖期同期为32.13%）；甜菜糖累计平均销售价格6388元/吨（上制糖期同期为6241元/吨），甘蔗糖累计平均销售价格6533元/吨（上制糖期同期为6902元/吨）。</w:t>
      </w:r>
      <w:r>
        <w:rPr>
          <w:rFonts w:hint="eastAsia"/>
          <w:b w:val="0"/>
          <w:bCs w:val="0"/>
          <w:szCs w:val="21"/>
          <w:lang w:val="en-US" w:eastAsia="zh-CN"/>
        </w:rPr>
        <w:br w:type="textWrapping"/>
      </w:r>
      <w:r>
        <w:rPr>
          <w:rFonts w:hint="eastAsia"/>
          <w:b w:val="0"/>
          <w:bCs w:val="0"/>
          <w:szCs w:val="21"/>
          <w:lang w:val="en-US" w:eastAsia="zh-CN"/>
        </w:rPr>
        <w:t xml:space="preserve">截止12月15日，不完全统计广西已有51家糖厂开榨，同比减少6家；已开榨糖厂的日榨产能约为42.7万吨，同比减少3.65万吨/日。 </w:t>
      </w:r>
      <w:r>
        <w:rPr>
          <w:rFonts w:hint="eastAsia"/>
          <w:b w:val="0"/>
          <w:bCs w:val="0"/>
          <w:szCs w:val="21"/>
          <w:lang w:val="en-US" w:eastAsia="zh-CN"/>
        </w:rPr>
        <w:br w:type="textWrapping"/>
      </w:r>
      <w:r>
        <w:rPr>
          <w:rFonts w:hint="eastAsia"/>
          <w:b w:val="0"/>
          <w:bCs w:val="0"/>
          <w:szCs w:val="21"/>
          <w:lang w:val="en-US" w:eastAsia="zh-CN"/>
        </w:rPr>
        <w:t xml:space="preserve">    目前来看，郑糖805合约本周大幅下跌至目前6000点附近，我们认为短期白糖走势主要是受到国际原糖的拖累。下周投资者可以继续保持适当多头仓位，近期主要看点在于新榨季各产区的压榨进度以及走私情况的变化，投资者可根据相应的市场消息调整仓位，做好资金管理.</w:t>
      </w:r>
      <w:r>
        <w:rPr>
          <w:rFonts w:hint="eastAsia"/>
          <w:b w:val="0"/>
          <w:bCs w:val="0"/>
          <w:szCs w:val="21"/>
          <w:lang w:val="en-US" w:eastAsia="zh-CN"/>
        </w:rPr>
        <w:br w:type="textWrapping"/>
      </w:r>
      <w:r>
        <w:rPr>
          <w:rFonts w:hint="eastAsia"/>
          <w:b w:val="0"/>
          <w:bCs w:val="0"/>
          <w:szCs w:val="21"/>
          <w:lang w:val="en-US" w:eastAsia="zh-CN"/>
        </w:rPr>
        <w:t>ξ蓝色幻念ζ 2017/12/17 09:59:22</w:t>
      </w:r>
      <w:r>
        <w:rPr>
          <w:rFonts w:hint="eastAsia"/>
          <w:b w:val="0"/>
          <w:bCs w:val="0"/>
          <w:szCs w:val="21"/>
          <w:lang w:val="en-US" w:eastAsia="zh-CN"/>
        </w:rPr>
        <w:br w:type="textWrapping"/>
      </w:r>
      <w:r>
        <w:rPr>
          <w:rFonts w:hint="eastAsia"/>
          <w:b w:val="0"/>
          <w:bCs w:val="0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Cs w:val="21"/>
          <w:lang w:val="en-US" w:eastAsia="zh-CN"/>
        </w:rPr>
        <w:t>棉花：</w:t>
      </w:r>
      <w:r>
        <w:rPr>
          <w:rFonts w:hint="eastAsia"/>
          <w:b w:val="0"/>
          <w:bCs w:val="0"/>
          <w:szCs w:val="21"/>
          <w:lang w:val="en-US" w:eastAsia="zh-CN"/>
        </w:rPr>
        <w:t>本周郑棉合约CF805开盘15470点，大幅回撤，下跌2.71%或420点，收于15060点，重新站回15000点大关上方。美棉主力合约震荡上行，上涨2.93%或2.16美分，报收于75.85美分。</w:t>
      </w:r>
      <w:r>
        <w:rPr>
          <w:rFonts w:hint="eastAsia"/>
          <w:b w:val="0"/>
          <w:bCs w:val="0"/>
          <w:szCs w:val="21"/>
          <w:lang w:val="en-US" w:eastAsia="zh-CN"/>
        </w:rPr>
        <w:br w:type="textWrapping"/>
      </w:r>
      <w:r>
        <w:rPr>
          <w:rFonts w:hint="eastAsia"/>
          <w:b w:val="0"/>
          <w:bCs w:val="0"/>
          <w:szCs w:val="21"/>
          <w:lang w:val="en-US" w:eastAsia="zh-CN"/>
        </w:rPr>
        <w:t>国际方面，美国农业部报告显示，2017年12月1-7日，2017/18年度美棉出口净签约量为5.89万吨，较前周增长39%，较前四周平均值减少22%。新增签约主要来自土耳其（1.432万吨）、越南（1.35万吨）、巴基斯坦（9956吨）和孟加拉国（4944吨）。中国签约6078吨。委内瑞拉和日本取消部分合同。</w:t>
      </w:r>
      <w:r>
        <w:rPr>
          <w:rFonts w:hint="eastAsia"/>
          <w:b w:val="0"/>
          <w:bCs w:val="0"/>
          <w:szCs w:val="21"/>
          <w:lang w:val="en-US" w:eastAsia="zh-CN"/>
        </w:rPr>
        <w:br w:type="textWrapping"/>
      </w:r>
      <w:r>
        <w:rPr>
          <w:rFonts w:hint="eastAsia"/>
          <w:b w:val="0"/>
          <w:bCs w:val="0"/>
          <w:szCs w:val="21"/>
          <w:lang w:val="en-US" w:eastAsia="zh-CN"/>
        </w:rPr>
        <w:t>根据巴基斯坦轧花厂协会（PCGA）的统计，截至12月5日，巴基斯坦新棉上市量累计达到172.2万吨，去年同期为166.2万吨，增幅达3.62%。新棉加工量为157.8万吨，去年同期为151.3万吨。新棉累计销售140.7万吨，去年同期为133.8万吨，其中出口商3.6万吨，纺织厂137.1万吨。</w:t>
      </w:r>
      <w:r>
        <w:rPr>
          <w:rFonts w:hint="eastAsia"/>
          <w:b w:val="0"/>
          <w:bCs w:val="0"/>
          <w:szCs w:val="21"/>
          <w:lang w:val="en-US" w:eastAsia="zh-CN"/>
        </w:rPr>
        <w:br w:type="textWrapping"/>
      </w:r>
      <w:r>
        <w:rPr>
          <w:rFonts w:hint="eastAsia"/>
          <w:b w:val="0"/>
          <w:bCs w:val="0"/>
          <w:szCs w:val="21"/>
          <w:lang w:val="en-US" w:eastAsia="zh-CN"/>
        </w:rPr>
        <w:t>国内方面，纺织企业纱、布产销率略有提高，库存折天数稳中有降。截至2017年12月15日，全国新棉采摘进度为98.8%，同比下降0.5个百分点，较过去四年均值减缓0.4个百分点，其中新疆采摘99.1%；全国交售率为90.5%，同比下降0.2个百分点，较过去四年均值加快2.6个百分点，其中新疆交售99.1%。</w:t>
      </w:r>
      <w:r>
        <w:rPr>
          <w:rFonts w:hint="eastAsia"/>
          <w:b w:val="0"/>
          <w:bCs w:val="0"/>
          <w:szCs w:val="21"/>
          <w:lang w:val="en-US" w:eastAsia="zh-CN"/>
        </w:rPr>
        <w:br w:type="textWrapping"/>
      </w:r>
      <w:r>
        <w:rPr>
          <w:rFonts w:hint="eastAsia"/>
          <w:b w:val="0"/>
          <w:bCs w:val="0"/>
          <w:szCs w:val="21"/>
          <w:lang w:val="en-US" w:eastAsia="zh-CN"/>
        </w:rPr>
        <w:t>      总的来看，目前市场处于新棉上市的高峰期，新疆棉花产量大增，而现货销售端进展缓慢。这给郑棉造成了很大的压力，预计未来一周国内郑棉仍然以震荡偏空为主，建议投资者可以暂时空仓观望，待行情明确后再择机入场。</w:t>
      </w:r>
    </w:p>
    <w:p>
      <w:pPr>
        <w:pStyle w:val="107"/>
        <w:spacing w:before="156" w:beforeLines="50" w:after="156" w:afterLines="50" w:line="360" w:lineRule="auto"/>
        <w:ind w:firstLine="420"/>
        <w:rPr>
          <w:rFonts w:ascii="Times New Roman" w:eastAsia="宋体"/>
          <w:color w:val="auto"/>
          <w:kern w:val="2"/>
          <w:sz w:val="21"/>
          <w:szCs w:val="21"/>
        </w:rPr>
      </w:pPr>
    </w:p>
    <w:p>
      <w:pPr>
        <w:pStyle w:val="107"/>
        <w:spacing w:before="156" w:beforeLines="50" w:after="156" w:afterLines="50" w:line="360" w:lineRule="auto"/>
        <w:ind w:firstLine="420"/>
        <w:rPr>
          <w:rFonts w:ascii="Times New Roman" w:eastAsia="宋体"/>
          <w:color w:val="auto"/>
          <w:kern w:val="2"/>
          <w:sz w:val="21"/>
          <w:szCs w:val="21"/>
        </w:rPr>
      </w:pPr>
    </w:p>
    <w:p>
      <w:pPr>
        <w:pStyle w:val="107"/>
        <w:spacing w:before="156" w:beforeLines="50" w:after="156" w:afterLines="50" w:line="360" w:lineRule="auto"/>
        <w:ind w:firstLine="420"/>
        <w:rPr>
          <w:rFonts w:ascii="Times New Roman" w:eastAsia="宋体"/>
          <w:color w:val="auto"/>
          <w:kern w:val="2"/>
          <w:sz w:val="21"/>
          <w:szCs w:val="21"/>
        </w:rPr>
      </w:pPr>
    </w:p>
    <w:p>
      <w:pPr>
        <w:pStyle w:val="107"/>
        <w:spacing w:before="156" w:beforeLines="50" w:after="156" w:afterLines="50" w:line="360" w:lineRule="auto"/>
        <w:ind w:firstLine="420"/>
        <w:rPr>
          <w:rFonts w:ascii="Times New Roman" w:eastAsia="宋体"/>
          <w:color w:val="auto"/>
          <w:kern w:val="2"/>
          <w:sz w:val="21"/>
          <w:szCs w:val="21"/>
        </w:rPr>
      </w:pPr>
    </w:p>
    <w:p>
      <w:pPr>
        <w:pStyle w:val="107"/>
        <w:spacing w:before="156" w:beforeLines="50" w:after="156" w:afterLines="50" w:line="360" w:lineRule="auto"/>
        <w:ind w:firstLine="420"/>
        <w:rPr>
          <w:rFonts w:ascii="Times New Roman" w:eastAsia="宋体"/>
          <w:color w:val="auto"/>
          <w:kern w:val="2"/>
          <w:sz w:val="21"/>
          <w:szCs w:val="21"/>
        </w:rPr>
      </w:pPr>
    </w:p>
    <w:p>
      <w:pPr>
        <w:pStyle w:val="107"/>
        <w:spacing w:before="156" w:beforeLines="50" w:after="156" w:afterLines="50" w:line="360" w:lineRule="auto"/>
        <w:ind w:firstLine="420"/>
        <w:rPr>
          <w:rFonts w:ascii="Times New Roman" w:eastAsia="宋体"/>
          <w:color w:val="auto"/>
          <w:kern w:val="2"/>
          <w:sz w:val="21"/>
          <w:szCs w:val="21"/>
        </w:rPr>
      </w:pPr>
    </w:p>
    <w:p>
      <w:pPr>
        <w:pStyle w:val="107"/>
        <w:spacing w:before="156" w:beforeLines="50" w:after="156" w:afterLines="50" w:line="360" w:lineRule="auto"/>
        <w:ind w:firstLine="420"/>
        <w:rPr>
          <w:rFonts w:ascii="Times New Roman" w:eastAsia="宋体"/>
          <w:color w:val="auto"/>
          <w:kern w:val="2"/>
          <w:sz w:val="21"/>
          <w:szCs w:val="21"/>
        </w:rPr>
      </w:pPr>
    </w:p>
    <w:p>
      <w:pPr>
        <w:pStyle w:val="107"/>
        <w:spacing w:before="156" w:beforeLines="50" w:after="156" w:afterLines="50" w:line="360" w:lineRule="auto"/>
        <w:ind w:firstLine="420"/>
        <w:rPr>
          <w:rFonts w:ascii="Times New Roman" w:eastAsia="宋体"/>
          <w:color w:val="auto"/>
          <w:kern w:val="2"/>
          <w:sz w:val="21"/>
          <w:szCs w:val="21"/>
        </w:rPr>
      </w:pPr>
    </w:p>
    <w:p>
      <w:pPr>
        <w:pStyle w:val="107"/>
        <w:spacing w:before="156" w:beforeLines="50" w:after="156" w:afterLines="50" w:line="360" w:lineRule="auto"/>
        <w:ind w:firstLine="420"/>
        <w:rPr>
          <w:rFonts w:ascii="Times New Roman" w:eastAsia="宋体"/>
          <w:color w:val="auto"/>
          <w:kern w:val="2"/>
          <w:sz w:val="21"/>
          <w:szCs w:val="21"/>
        </w:rPr>
      </w:pPr>
    </w:p>
    <w:p>
      <w:pPr>
        <w:pStyle w:val="107"/>
        <w:spacing w:before="156" w:beforeLines="50" w:after="156" w:afterLines="50" w:line="360" w:lineRule="auto"/>
        <w:ind w:firstLine="420"/>
        <w:rPr>
          <w:rFonts w:ascii="Times New Roman" w:eastAsia="宋体"/>
          <w:color w:val="auto"/>
          <w:kern w:val="2"/>
          <w:sz w:val="21"/>
          <w:szCs w:val="21"/>
        </w:rPr>
      </w:pPr>
    </w:p>
    <w:p>
      <w:pPr>
        <w:pStyle w:val="107"/>
        <w:spacing w:before="156" w:beforeLines="50" w:after="156" w:afterLines="50" w:line="360" w:lineRule="auto"/>
        <w:ind w:firstLine="420"/>
        <w:rPr>
          <w:rFonts w:ascii="Times New Roman" w:eastAsia="宋体"/>
          <w:color w:val="auto"/>
          <w:kern w:val="2"/>
          <w:sz w:val="21"/>
          <w:szCs w:val="21"/>
        </w:rPr>
      </w:pPr>
    </w:p>
    <w:p>
      <w:pPr>
        <w:pStyle w:val="107"/>
        <w:spacing w:before="156" w:beforeLines="50" w:after="156" w:afterLines="50" w:line="360" w:lineRule="auto"/>
        <w:ind w:firstLine="420"/>
        <w:rPr>
          <w:rFonts w:ascii="Times New Roman" w:eastAsia="宋体"/>
          <w:color w:val="auto"/>
          <w:kern w:val="2"/>
          <w:sz w:val="21"/>
          <w:szCs w:val="21"/>
        </w:rPr>
      </w:pPr>
    </w:p>
    <w:p>
      <w:pPr>
        <w:pStyle w:val="107"/>
        <w:spacing w:before="156" w:beforeLines="50" w:after="156" w:afterLines="50" w:line="360" w:lineRule="auto"/>
        <w:ind w:firstLine="420"/>
        <w:rPr>
          <w:rFonts w:ascii="Times New Roman" w:eastAsia="宋体"/>
          <w:color w:val="auto"/>
          <w:kern w:val="2"/>
          <w:sz w:val="21"/>
          <w:szCs w:val="21"/>
        </w:rPr>
      </w:pPr>
      <w:bookmarkStart w:id="0" w:name="_GoBack"/>
      <w:bookmarkEnd w:id="0"/>
    </w:p>
    <w:p>
      <w:pPr>
        <w:pStyle w:val="107"/>
        <w:spacing w:before="156" w:beforeLines="50" w:after="156" w:afterLines="50" w:line="360" w:lineRule="auto"/>
        <w:rPr>
          <w:rFonts w:ascii="Times New Roman" w:eastAsia="宋体"/>
          <w:color w:val="auto"/>
          <w:kern w:val="2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</w:rPr>
        <w:t>免责声明：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报告中的信息均来源于可信的公开资料或实地调研资料，但我公司对这些信息的准确性及完整性不作任何保证，也不保证本公司作出的任何建议不会发生任何变更。在任何情况下，报告中的信息或所表达的意见并不构成所述期货买卖的出价或询价。在任何情况下，我公司不就本报告中的任何内容对任何投资作出任何形式的担保。</w:t>
      </w:r>
    </w:p>
    <w:p>
      <w:pPr>
        <w:spacing w:line="360" w:lineRule="auto"/>
        <w:rPr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274" w:bottom="1701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framePr w:wrap="around" w:vAnchor="text" w:hAnchor="page" w:x="10621" w:y="-182"/>
      <w:rPr>
        <w:rStyle w:val="90"/>
        <w:rFonts w:ascii="仿宋_GB2312" w:hAnsi="仿宋_GB2312" w:eastAsia="仿宋_GB2312"/>
        <w:color w:val="CC0000"/>
        <w:sz w:val="22"/>
      </w:rPr>
    </w:pPr>
    <w:r>
      <w:rPr>
        <w:rFonts w:hint="eastAsia" w:ascii="仿宋_GB2312" w:hAnsi="仿宋_GB2312" w:eastAsia="仿宋_GB2312"/>
        <w:b/>
        <w:color w:val="CC0000"/>
        <w:sz w:val="30"/>
      </w:rPr>
      <w:fldChar w:fldCharType="begin"/>
    </w:r>
    <w:r>
      <w:rPr>
        <w:rStyle w:val="90"/>
        <w:rFonts w:hint="eastAsia" w:ascii="仿宋_GB2312" w:hAnsi="仿宋_GB2312" w:eastAsia="仿宋_GB2312"/>
        <w:b/>
        <w:color w:val="CC0000"/>
        <w:sz w:val="30"/>
      </w:rPr>
      <w:instrText xml:space="preserve">PAGE  </w:instrText>
    </w:r>
    <w:r>
      <w:rPr>
        <w:rFonts w:hint="eastAsia" w:ascii="仿宋_GB2312" w:hAnsi="仿宋_GB2312" w:eastAsia="仿宋_GB2312"/>
        <w:b/>
        <w:color w:val="CC0000"/>
        <w:sz w:val="30"/>
      </w:rPr>
      <w:fldChar w:fldCharType="separate"/>
    </w:r>
    <w:r>
      <w:rPr>
        <w:rStyle w:val="90"/>
        <w:rFonts w:ascii="仿宋_GB2312" w:hAnsi="仿宋_GB2312" w:eastAsia="仿宋_GB2312"/>
        <w:b/>
        <w:color w:val="CC0000"/>
        <w:sz w:val="30"/>
      </w:rPr>
      <w:t>7</w:t>
    </w:r>
    <w:r>
      <w:rPr>
        <w:rFonts w:hint="eastAsia" w:ascii="仿宋_GB2312" w:hAnsi="仿宋_GB2312" w:eastAsia="仿宋_GB2312"/>
        <w:b/>
        <w:color w:val="CC0000"/>
        <w:sz w:val="30"/>
      </w:rPr>
      <w:fldChar w:fldCharType="end"/>
    </w:r>
  </w:p>
  <w:p>
    <w:pPr>
      <w:pStyle w:val="57"/>
      <w:rPr>
        <w:sz w:val="21"/>
      </w:rPr>
    </w:pPr>
    <w:r>
      <w:pict>
        <v:rect id="Rectangle 8" o:spid="_x0000_s2051" o:spt="1" style="position:absolute;left:0pt;margin-left:477.85pt;margin-top:755.85pt;height:23.4pt;width:27pt;mso-position-vertical-relative:page;z-index:251659264;mso-width-relative:page;mso-height-relative:page;" filled="f" stroked="t" coordsize="21600,21600" o:gfxdata="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s/mPfbAAAADgEAAA8AAAAAAAAAAQAg&#10;AAAAIgAAAGRycy9kb3ducmV2LnhtbFBLAQIUABQAAAAIAIdO4kCWkdm1CwIAAPsDAAAOAAAAAAAA&#10;AAEAIAAAACoBAABkcnMvZTJvRG9jLnhtbFBLBQYAAAAABgAGAFkBAACnBQAAAAA=&#10;">
          <v:path/>
          <v:fill on="f" focussize="0,0"/>
          <v:stroke weight="2pt" color="#CC0000"/>
          <v:imagedata o:title=""/>
          <o:lock v:ext="edit"/>
        </v:rect>
      </w:pict>
    </w:r>
    <w:r>
      <w:rPr>
        <w:sz w:val="20"/>
        <w:u w:val="thick"/>
      </w:rPr>
      <w:pict>
        <v:rect id="Rectangle 7" o:spid="_x0000_s2050" o:spt="1" style="position:absolute;left:0pt;margin-left:162.7pt;margin-top:755.85pt;height:23.4pt;width:314.6pt;mso-position-vertical-relative:page;z-index:251658240;mso-width-relative:page;mso-height-relative:page;" fillcolor="#CC0000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">
          <v:path/>
          <v:fill on="t" focussize="0,0"/>
          <v:stroke weight="2pt" color="#CC0000"/>
          <v:imagedata o:title=""/>
          <o:lock v:ext="edit"/>
          <v:textbox>
            <w:txbxContent>
              <w:p>
                <w:pPr>
                  <w:ind w:firstLine="361" w:firstLineChars="150"/>
                  <w:jc w:val="center"/>
                  <w:rPr>
                    <w:rFonts w:ascii="宋体" w:hAnsi="宋体"/>
                    <w:b/>
                    <w:color w:val="FFFFFF"/>
                    <w:sz w:val="24"/>
                  </w:rPr>
                </w:pPr>
                <w:r>
                  <w:rPr>
                    <w:rFonts w:hint="eastAsia" w:ascii="宋体" w:hAnsi="宋体"/>
                    <w:b/>
                    <w:color w:val="FFFFFF"/>
                    <w:sz w:val="24"/>
                  </w:rPr>
                  <w:t>期市有风险 投资须谨慎</w:t>
                </w:r>
              </w:p>
            </w:txbxContent>
          </v:textbox>
        </v:rect>
      </w:pict>
    </w:r>
  </w:p>
  <w:p>
    <w:pPr>
      <w:pStyle w:val="57"/>
    </w:pPr>
    <w:r>
      <w:pict>
        <v:shape id="Text Box 6" o:spid="_x0000_s2049" o:spt="202" type="#_x0000_t202" style="position:absolute;left:0pt;margin-left:-19.2pt;margin-top:755.85pt;height:23.4pt;width:180pt;mso-position-vertical-relative:page;z-index:25166028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">
          <v:path/>
          <v:fill on="f" focussize="0,0"/>
          <v:stroke weight="2pt" color="#CC0000" joinstyle="miter"/>
          <v:imagedata o:title=""/>
          <o:lock v:ext="edit"/>
          <v:textbox>
            <w:txbxContent>
              <w:p>
                <w:pPr>
                  <w:jc w:val="center"/>
                  <w:rPr>
                    <w:rFonts w:ascii="宋体" w:hAnsi="宋体"/>
                    <w:b/>
                    <w:color w:val="CC0000"/>
                  </w:rPr>
                </w:pPr>
                <w:r>
                  <w:rPr>
                    <w:rFonts w:hint="eastAsia" w:ascii="宋体" w:hAnsi="宋体"/>
                    <w:b/>
                    <w:color w:val="CC0000"/>
                  </w:rPr>
                  <w:t>敬请参阅文后的免责声明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rPr>
        <w:b/>
        <w:i/>
        <w:sz w:val="21"/>
      </w:rPr>
    </w:pPr>
    <w:r>
      <w:rPr>
        <w:rFonts w:hint="eastAsia"/>
        <w:b/>
        <w:i/>
        <w:sz w:val="21"/>
      </w:rPr>
      <w:t xml:space="preserve">内部交流资料，仅供参考                                                       </w:t>
    </w:r>
    <w:r>
      <w:fldChar w:fldCharType="begin"/>
    </w:r>
    <w:r>
      <w:rPr>
        <w:rStyle w:val="90"/>
      </w:rPr>
      <w:instrText xml:space="preserve"> PAGE </w:instrText>
    </w:r>
    <w:r>
      <w:fldChar w:fldCharType="separate"/>
    </w:r>
    <w:r>
      <w:rPr>
        <w:rStyle w:val="90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cs="宋体"/>
        <w:kern w:val="0"/>
        <w:sz w:val="24"/>
        <w:szCs w:val="24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-216535</wp:posOffset>
          </wp:positionH>
          <wp:positionV relativeFrom="paragraph">
            <wp:posOffset>143510</wp:posOffset>
          </wp:positionV>
          <wp:extent cx="2139315" cy="396875"/>
          <wp:effectExtent l="19050" t="0" r="0" b="0"/>
          <wp:wrapNone/>
          <wp:docPr id="9" name="图片 9" descr="C:\Documents and Settings\Administrator\Application Data\Tencent\Users\546561691\QQ\WinTemp\RichOle\0)8_BB~N77${E0Z8}Y~7U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Documents and Settings\Administrator\Application Data\Tencent\Users\546561691\QQ\WinTemp\RichOle\0)8_BB~N77${E0Z8}Y~7UIU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9315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oundrect id="AutoShape 5" o:spid="_x0000_s2055" o:spt="2" style="position:absolute;left:0pt;margin-left:333pt;margin-top:3.5pt;height:39pt;width:180pt;z-index:251654144;mso-width-relative:page;mso-height-relative:page;" filled="f" stroked="f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">
          <v:path/>
          <v:fill on="f" focussize="0,0"/>
          <v:stroke on="f"/>
          <v:imagedata o:title=""/>
          <o:lock v:ext="edit"/>
          <v:textbox>
            <w:txbxContent>
              <w:p>
                <w:pPr>
                  <w:ind w:firstLine="588" w:firstLineChars="196"/>
                  <w:rPr>
                    <w:rFonts w:ascii="黑体" w:eastAsia="黑体"/>
                    <w:color w:val="000000"/>
                    <w:sz w:val="30"/>
                    <w:szCs w:val="30"/>
                  </w:rPr>
                </w:pPr>
                <w:r>
                  <w:rPr>
                    <w:rFonts w:hint="eastAsia" w:ascii="黑体" w:eastAsia="黑体"/>
                    <w:color w:val="000000"/>
                    <w:sz w:val="30"/>
                    <w:szCs w:val="30"/>
                  </w:rPr>
                  <w:t>投资策略周报</w:t>
                </w:r>
              </w:p>
            </w:txbxContent>
          </v:textbox>
        </v:roundrect>
      </w:pict>
    </w:r>
    <w:r>
      <w:pict>
        <v:line id="Line 3" o:spid="_x0000_s2054" o:spt="20" style="position:absolute;left:0pt;margin-left:351pt;margin-top:34.7pt;height:0.05pt;width:144pt;z-index:251655168;mso-width-relative:page;mso-height-relative:page;" stroked="t" coordsize="21600,21600" o:gfxdata="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ST&#10;G7fWAAAACQEAAA8AAAAAAAAAAQAgAAAAIgAAAGRycy9kb3ducmV2LnhtbFBLAQIUABQAAAAIAIdO&#10;4kBM3k4DswEAAFQDAAAOAAAAAAAAAAEAIAAAACUBAABkcnMvZTJvRG9jLnhtbFBLBQYAAAAABgAG&#10;AFkBAABKBQAAAAA=&#10;">
          <v:path arrowok="t"/>
          <v:fill focussize="0,0"/>
          <v:stroke weight="1.5pt" color="#CC0000"/>
          <v:imagedata o:title=""/>
          <o:lock v:ext="edit"/>
        </v:line>
      </w:pict>
    </w:r>
    <w:r>
      <w:pict>
        <v:line id="Line 4" o:spid="_x0000_s2053" o:spt="20" style="position:absolute;left:0pt;margin-left:342pt;margin-top:26.9pt;height:0.05pt;width:144pt;z-index:251656192;mso-width-relative:page;mso-height-relative:page;" stroked="t" coordsize="21600,21600" o:gfxdata="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mgoWw2gAAAAkBAAAPAAAAAAAAAAEAIAAAACIAAABkcnMvZG93bnJldi54bWxQSwECFAAUAAAA&#10;CACHTuJApWX5d7MBAABUAwAADgAAAAAAAAABACAAAAApAQAAZHJzL2Uyb0RvYy54bWxQSwUGAAAA&#10;AAYABgBZAQAATgUAAAAA&#10;">
          <v:path arrowok="t"/>
          <v:fill focussize="0,0"/>
          <v:stroke weight="1.25pt" color="#CC0000"/>
          <v:imagedata o:title=""/>
          <o:lock v:ext="edit"/>
        </v:line>
      </w:pict>
    </w:r>
    <w:r>
      <w:t xml:space="preserve"> </w:t>
    </w:r>
  </w:p>
  <w:p>
    <w:pPr>
      <w:pStyle w:val="60"/>
      <w:pBdr>
        <w:bottom w:val="none" w:color="auto" w:sz="0" w:space="0"/>
      </w:pBdr>
      <w:jc w:val="both"/>
    </w:pPr>
    <w:r>
      <w:pict>
        <v:line id="Line 1" o:spid="_x0000_s2052" o:spt="20" style="position:absolute;left:0pt;margin-left:-17.65pt;margin-top:85.05pt;height:0.9pt;width:521.55pt;mso-position-vertical-relative:page;z-index:251657216;mso-width-relative:page;mso-height-relative:page;" stroked="t" coordsize="21600,21600" o:gfxdata="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+IKH92gAAAAwBAAAPAAAAAAAAAAEAIAAAACIAAABkcnMvZG93bnJldi54bWxQSwECFAAU&#10;AAAACACHTuJALj8MxrYBAABWAwAADgAAAAAAAAABACAAAAApAQAAZHJzL2Uyb0RvYy54bWxQSwUG&#10;AAAAAAYABgBZAQAAUQUAAAAA&#10;">
          <v:path arrowok="t"/>
          <v:fill focussize="0,0"/>
          <v:stroke weight="2pt" color="#CC0000"/>
          <v:imagedata o:title=""/>
          <o:lock v:ext="edit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0"/>
    </w:pPr>
    <w:r>
      <w:rPr>
        <w:rFonts w:hint="eastAsia"/>
        <w:i/>
        <w:sz w:val="21"/>
      </w:rPr>
      <w:t xml:space="preserve">新世纪期货市场研发部       </w:t>
    </w:r>
    <w:r>
      <w:rPr>
        <w:rFonts w:hint="eastAsia"/>
      </w:rPr>
      <w:t xml:space="preserve">                                    </w:t>
    </w:r>
    <w:r>
      <w:rPr>
        <w:rFonts w:ascii="Times New Roman" w:hAnsi="Times New Roman"/>
        <w:i/>
        <w:sz w:val="21"/>
      </w:rPr>
      <w:t>http</w:t>
    </w:r>
    <w:r>
      <w:rPr>
        <w:rFonts w:ascii="Times New Roman"/>
        <w:i/>
        <w:sz w:val="21"/>
      </w:rPr>
      <w:t>：</w:t>
    </w:r>
    <w:r>
      <w:rPr>
        <w:rFonts w:ascii="Times New Roman" w:hAnsi="Times New Roman"/>
        <w:i/>
        <w:sz w:val="21"/>
      </w:rPr>
      <w:t>// www.zjncf.com.cn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984"/>
    <w:rsid w:val="00000B34"/>
    <w:rsid w:val="00000BFF"/>
    <w:rsid w:val="000024E7"/>
    <w:rsid w:val="00002C95"/>
    <w:rsid w:val="00007078"/>
    <w:rsid w:val="00007891"/>
    <w:rsid w:val="00014DCE"/>
    <w:rsid w:val="000215D1"/>
    <w:rsid w:val="00026679"/>
    <w:rsid w:val="00027462"/>
    <w:rsid w:val="0003154A"/>
    <w:rsid w:val="000320F2"/>
    <w:rsid w:val="00032CD1"/>
    <w:rsid w:val="00033E8C"/>
    <w:rsid w:val="00034281"/>
    <w:rsid w:val="00037F76"/>
    <w:rsid w:val="00040BE6"/>
    <w:rsid w:val="00041251"/>
    <w:rsid w:val="00050E54"/>
    <w:rsid w:val="00051371"/>
    <w:rsid w:val="000576B1"/>
    <w:rsid w:val="000637A6"/>
    <w:rsid w:val="00067A52"/>
    <w:rsid w:val="00085B45"/>
    <w:rsid w:val="00085FC4"/>
    <w:rsid w:val="00090367"/>
    <w:rsid w:val="000926C6"/>
    <w:rsid w:val="0009338B"/>
    <w:rsid w:val="00096493"/>
    <w:rsid w:val="000A18B1"/>
    <w:rsid w:val="000A2D92"/>
    <w:rsid w:val="000A472F"/>
    <w:rsid w:val="000A64C2"/>
    <w:rsid w:val="000B0491"/>
    <w:rsid w:val="000B4661"/>
    <w:rsid w:val="000B6077"/>
    <w:rsid w:val="000C084E"/>
    <w:rsid w:val="000C0987"/>
    <w:rsid w:val="000C0F91"/>
    <w:rsid w:val="000C2A50"/>
    <w:rsid w:val="000C3515"/>
    <w:rsid w:val="000C59AA"/>
    <w:rsid w:val="000D4C3B"/>
    <w:rsid w:val="000D5403"/>
    <w:rsid w:val="000E0B8A"/>
    <w:rsid w:val="000E6148"/>
    <w:rsid w:val="000F293D"/>
    <w:rsid w:val="000F4640"/>
    <w:rsid w:val="000F56E2"/>
    <w:rsid w:val="00100213"/>
    <w:rsid w:val="00100275"/>
    <w:rsid w:val="00104C27"/>
    <w:rsid w:val="00106105"/>
    <w:rsid w:val="00113327"/>
    <w:rsid w:val="00114882"/>
    <w:rsid w:val="00114F38"/>
    <w:rsid w:val="001224FA"/>
    <w:rsid w:val="001257E8"/>
    <w:rsid w:val="00132CBC"/>
    <w:rsid w:val="0013409E"/>
    <w:rsid w:val="00135E30"/>
    <w:rsid w:val="0013624B"/>
    <w:rsid w:val="0013749B"/>
    <w:rsid w:val="001406EC"/>
    <w:rsid w:val="001424D9"/>
    <w:rsid w:val="00143758"/>
    <w:rsid w:val="00147DC1"/>
    <w:rsid w:val="0015031F"/>
    <w:rsid w:val="00150EB4"/>
    <w:rsid w:val="00154FD8"/>
    <w:rsid w:val="0016309D"/>
    <w:rsid w:val="00165C97"/>
    <w:rsid w:val="00170FCF"/>
    <w:rsid w:val="00172A27"/>
    <w:rsid w:val="00174C53"/>
    <w:rsid w:val="00175C1D"/>
    <w:rsid w:val="0017601E"/>
    <w:rsid w:val="00180647"/>
    <w:rsid w:val="00180BA5"/>
    <w:rsid w:val="00184319"/>
    <w:rsid w:val="001867CE"/>
    <w:rsid w:val="00192C3A"/>
    <w:rsid w:val="00193BDB"/>
    <w:rsid w:val="0019599D"/>
    <w:rsid w:val="001965C0"/>
    <w:rsid w:val="001A0ABC"/>
    <w:rsid w:val="001A4623"/>
    <w:rsid w:val="001A5D22"/>
    <w:rsid w:val="001A6331"/>
    <w:rsid w:val="001A799A"/>
    <w:rsid w:val="001A7A8C"/>
    <w:rsid w:val="001B3C87"/>
    <w:rsid w:val="001B7187"/>
    <w:rsid w:val="001C685D"/>
    <w:rsid w:val="001C6E8A"/>
    <w:rsid w:val="001C6FB3"/>
    <w:rsid w:val="001C71C1"/>
    <w:rsid w:val="001E30A5"/>
    <w:rsid w:val="001E3251"/>
    <w:rsid w:val="001E3419"/>
    <w:rsid w:val="001E4A05"/>
    <w:rsid w:val="001E5056"/>
    <w:rsid w:val="001E526C"/>
    <w:rsid w:val="001E6B32"/>
    <w:rsid w:val="001E7D67"/>
    <w:rsid w:val="001F2421"/>
    <w:rsid w:val="001F2C07"/>
    <w:rsid w:val="001F3619"/>
    <w:rsid w:val="002066BA"/>
    <w:rsid w:val="002122EB"/>
    <w:rsid w:val="002136EB"/>
    <w:rsid w:val="0021385C"/>
    <w:rsid w:val="00214F3E"/>
    <w:rsid w:val="00216818"/>
    <w:rsid w:val="00220012"/>
    <w:rsid w:val="00222E80"/>
    <w:rsid w:val="00227B6D"/>
    <w:rsid w:val="002338C1"/>
    <w:rsid w:val="00234851"/>
    <w:rsid w:val="00237EA0"/>
    <w:rsid w:val="00253151"/>
    <w:rsid w:val="00257721"/>
    <w:rsid w:val="00261203"/>
    <w:rsid w:val="002643A9"/>
    <w:rsid w:val="00265413"/>
    <w:rsid w:val="00265C7D"/>
    <w:rsid w:val="0026729E"/>
    <w:rsid w:val="00281BF5"/>
    <w:rsid w:val="002863E0"/>
    <w:rsid w:val="00293A1B"/>
    <w:rsid w:val="002A0237"/>
    <w:rsid w:val="002A532C"/>
    <w:rsid w:val="002A5AAF"/>
    <w:rsid w:val="002B0B44"/>
    <w:rsid w:val="002B29E3"/>
    <w:rsid w:val="002B75B4"/>
    <w:rsid w:val="002C5AFC"/>
    <w:rsid w:val="002D3CCA"/>
    <w:rsid w:val="002E14D3"/>
    <w:rsid w:val="002E5574"/>
    <w:rsid w:val="002E59DC"/>
    <w:rsid w:val="002F4169"/>
    <w:rsid w:val="002F72F2"/>
    <w:rsid w:val="003006A7"/>
    <w:rsid w:val="00300A9F"/>
    <w:rsid w:val="0030343B"/>
    <w:rsid w:val="003135D6"/>
    <w:rsid w:val="00313D71"/>
    <w:rsid w:val="003153FD"/>
    <w:rsid w:val="00317E18"/>
    <w:rsid w:val="00317F41"/>
    <w:rsid w:val="00325B17"/>
    <w:rsid w:val="00332543"/>
    <w:rsid w:val="003377B8"/>
    <w:rsid w:val="00343BBB"/>
    <w:rsid w:val="00347829"/>
    <w:rsid w:val="00350FCD"/>
    <w:rsid w:val="00353AA5"/>
    <w:rsid w:val="00353CA1"/>
    <w:rsid w:val="003617B8"/>
    <w:rsid w:val="003619C1"/>
    <w:rsid w:val="00362443"/>
    <w:rsid w:val="00364A75"/>
    <w:rsid w:val="00366E7C"/>
    <w:rsid w:val="0036717E"/>
    <w:rsid w:val="00371470"/>
    <w:rsid w:val="003830F0"/>
    <w:rsid w:val="0039117A"/>
    <w:rsid w:val="003937D5"/>
    <w:rsid w:val="00395737"/>
    <w:rsid w:val="003A5FA0"/>
    <w:rsid w:val="003A6A1A"/>
    <w:rsid w:val="003B32BC"/>
    <w:rsid w:val="003B349C"/>
    <w:rsid w:val="003B3A9B"/>
    <w:rsid w:val="003B4AEF"/>
    <w:rsid w:val="003C10E7"/>
    <w:rsid w:val="003C19BB"/>
    <w:rsid w:val="003C33E1"/>
    <w:rsid w:val="003D51BB"/>
    <w:rsid w:val="003E2398"/>
    <w:rsid w:val="003E7874"/>
    <w:rsid w:val="003F44B3"/>
    <w:rsid w:val="003F66CF"/>
    <w:rsid w:val="00411FFC"/>
    <w:rsid w:val="004167FE"/>
    <w:rsid w:val="0042381E"/>
    <w:rsid w:val="004267E0"/>
    <w:rsid w:val="004346F4"/>
    <w:rsid w:val="004360F5"/>
    <w:rsid w:val="00436F77"/>
    <w:rsid w:val="004376EC"/>
    <w:rsid w:val="0044001A"/>
    <w:rsid w:val="00441F66"/>
    <w:rsid w:val="004434FB"/>
    <w:rsid w:val="00445A0B"/>
    <w:rsid w:val="00452564"/>
    <w:rsid w:val="00453745"/>
    <w:rsid w:val="00454E1D"/>
    <w:rsid w:val="00455FFB"/>
    <w:rsid w:val="004566C1"/>
    <w:rsid w:val="004622E6"/>
    <w:rsid w:val="00470DB0"/>
    <w:rsid w:val="004720C3"/>
    <w:rsid w:val="00476EB5"/>
    <w:rsid w:val="00481C11"/>
    <w:rsid w:val="00492E13"/>
    <w:rsid w:val="00496B66"/>
    <w:rsid w:val="004A42F9"/>
    <w:rsid w:val="004A45B3"/>
    <w:rsid w:val="004A6392"/>
    <w:rsid w:val="004A7530"/>
    <w:rsid w:val="004B2351"/>
    <w:rsid w:val="004B64B0"/>
    <w:rsid w:val="004B6B15"/>
    <w:rsid w:val="004B6F0C"/>
    <w:rsid w:val="004B6F54"/>
    <w:rsid w:val="004C01FC"/>
    <w:rsid w:val="004C084A"/>
    <w:rsid w:val="004C0C62"/>
    <w:rsid w:val="004C1E70"/>
    <w:rsid w:val="004D144A"/>
    <w:rsid w:val="004D22CD"/>
    <w:rsid w:val="004D5CBC"/>
    <w:rsid w:val="004E4320"/>
    <w:rsid w:val="004F079E"/>
    <w:rsid w:val="004F41FA"/>
    <w:rsid w:val="00501F11"/>
    <w:rsid w:val="00507494"/>
    <w:rsid w:val="005114AD"/>
    <w:rsid w:val="00517A5B"/>
    <w:rsid w:val="00520918"/>
    <w:rsid w:val="00522B5A"/>
    <w:rsid w:val="0052309D"/>
    <w:rsid w:val="00524B90"/>
    <w:rsid w:val="0052621C"/>
    <w:rsid w:val="00531BA6"/>
    <w:rsid w:val="00531F05"/>
    <w:rsid w:val="0054362F"/>
    <w:rsid w:val="00543E69"/>
    <w:rsid w:val="005462E8"/>
    <w:rsid w:val="00551472"/>
    <w:rsid w:val="00554131"/>
    <w:rsid w:val="0055452F"/>
    <w:rsid w:val="0055595F"/>
    <w:rsid w:val="00557CB8"/>
    <w:rsid w:val="00560344"/>
    <w:rsid w:val="005604E2"/>
    <w:rsid w:val="00563A19"/>
    <w:rsid w:val="005704EE"/>
    <w:rsid w:val="005714FE"/>
    <w:rsid w:val="00571D06"/>
    <w:rsid w:val="00572B59"/>
    <w:rsid w:val="00576522"/>
    <w:rsid w:val="00582152"/>
    <w:rsid w:val="0058424C"/>
    <w:rsid w:val="00593C45"/>
    <w:rsid w:val="0059558A"/>
    <w:rsid w:val="005A48EA"/>
    <w:rsid w:val="005A6E64"/>
    <w:rsid w:val="005B23E6"/>
    <w:rsid w:val="005B4113"/>
    <w:rsid w:val="005B759C"/>
    <w:rsid w:val="005C09FD"/>
    <w:rsid w:val="005C112F"/>
    <w:rsid w:val="005C3968"/>
    <w:rsid w:val="005C788F"/>
    <w:rsid w:val="005D21F2"/>
    <w:rsid w:val="005D4408"/>
    <w:rsid w:val="005D725A"/>
    <w:rsid w:val="005E54F9"/>
    <w:rsid w:val="005E64C7"/>
    <w:rsid w:val="005F0E99"/>
    <w:rsid w:val="005F1349"/>
    <w:rsid w:val="005F3567"/>
    <w:rsid w:val="00604B9F"/>
    <w:rsid w:val="00605DE2"/>
    <w:rsid w:val="006124C1"/>
    <w:rsid w:val="006130B3"/>
    <w:rsid w:val="00613F5D"/>
    <w:rsid w:val="00614172"/>
    <w:rsid w:val="00621595"/>
    <w:rsid w:val="00624AC6"/>
    <w:rsid w:val="006261D7"/>
    <w:rsid w:val="006306D3"/>
    <w:rsid w:val="006309A3"/>
    <w:rsid w:val="00630A5D"/>
    <w:rsid w:val="00630AE7"/>
    <w:rsid w:val="006314B4"/>
    <w:rsid w:val="006349FC"/>
    <w:rsid w:val="006360C7"/>
    <w:rsid w:val="006375B6"/>
    <w:rsid w:val="00640A3B"/>
    <w:rsid w:val="006442EA"/>
    <w:rsid w:val="006463AA"/>
    <w:rsid w:val="00646E4B"/>
    <w:rsid w:val="00647827"/>
    <w:rsid w:val="00650297"/>
    <w:rsid w:val="0065651D"/>
    <w:rsid w:val="00656961"/>
    <w:rsid w:val="0065775B"/>
    <w:rsid w:val="00660AD5"/>
    <w:rsid w:val="0066541F"/>
    <w:rsid w:val="006673E2"/>
    <w:rsid w:val="00667D22"/>
    <w:rsid w:val="00675BF7"/>
    <w:rsid w:val="00690F87"/>
    <w:rsid w:val="00692DF7"/>
    <w:rsid w:val="0069673A"/>
    <w:rsid w:val="006A2378"/>
    <w:rsid w:val="006A3C0A"/>
    <w:rsid w:val="006B1676"/>
    <w:rsid w:val="006B2764"/>
    <w:rsid w:val="006B2B10"/>
    <w:rsid w:val="006C40BA"/>
    <w:rsid w:val="006C48F7"/>
    <w:rsid w:val="006D39B3"/>
    <w:rsid w:val="006D691A"/>
    <w:rsid w:val="006E1092"/>
    <w:rsid w:val="006E5B6C"/>
    <w:rsid w:val="006F138A"/>
    <w:rsid w:val="006F2D3F"/>
    <w:rsid w:val="006F3E97"/>
    <w:rsid w:val="006F5581"/>
    <w:rsid w:val="006F7D4D"/>
    <w:rsid w:val="0070441E"/>
    <w:rsid w:val="00714410"/>
    <w:rsid w:val="00715656"/>
    <w:rsid w:val="00717E89"/>
    <w:rsid w:val="00726A20"/>
    <w:rsid w:val="007302C6"/>
    <w:rsid w:val="007470AC"/>
    <w:rsid w:val="00754314"/>
    <w:rsid w:val="0075577F"/>
    <w:rsid w:val="00756DC6"/>
    <w:rsid w:val="007605A5"/>
    <w:rsid w:val="00763583"/>
    <w:rsid w:val="007638F4"/>
    <w:rsid w:val="00763C4F"/>
    <w:rsid w:val="00770F79"/>
    <w:rsid w:val="00774E2C"/>
    <w:rsid w:val="007755BB"/>
    <w:rsid w:val="00780950"/>
    <w:rsid w:val="00780CE5"/>
    <w:rsid w:val="00784DA8"/>
    <w:rsid w:val="007876F2"/>
    <w:rsid w:val="00790EF9"/>
    <w:rsid w:val="00797742"/>
    <w:rsid w:val="007A37F1"/>
    <w:rsid w:val="007A394C"/>
    <w:rsid w:val="007A3D0B"/>
    <w:rsid w:val="007A46F1"/>
    <w:rsid w:val="007B1888"/>
    <w:rsid w:val="007B7A2F"/>
    <w:rsid w:val="007C148B"/>
    <w:rsid w:val="007D04CE"/>
    <w:rsid w:val="007D2A11"/>
    <w:rsid w:val="007D45DE"/>
    <w:rsid w:val="007D4B17"/>
    <w:rsid w:val="007D5271"/>
    <w:rsid w:val="007D7006"/>
    <w:rsid w:val="007E3845"/>
    <w:rsid w:val="007E437F"/>
    <w:rsid w:val="007E5D4A"/>
    <w:rsid w:val="007E61B5"/>
    <w:rsid w:val="007E64F7"/>
    <w:rsid w:val="007F1B1B"/>
    <w:rsid w:val="007F244A"/>
    <w:rsid w:val="007F429F"/>
    <w:rsid w:val="00811A20"/>
    <w:rsid w:val="00821873"/>
    <w:rsid w:val="008234C8"/>
    <w:rsid w:val="00826DC8"/>
    <w:rsid w:val="008320F4"/>
    <w:rsid w:val="008323E5"/>
    <w:rsid w:val="008511D8"/>
    <w:rsid w:val="00852CD4"/>
    <w:rsid w:val="008576A3"/>
    <w:rsid w:val="00860111"/>
    <w:rsid w:val="008620E6"/>
    <w:rsid w:val="00862B20"/>
    <w:rsid w:val="008637E6"/>
    <w:rsid w:val="00863C77"/>
    <w:rsid w:val="00864136"/>
    <w:rsid w:val="00866796"/>
    <w:rsid w:val="0086756D"/>
    <w:rsid w:val="00867A51"/>
    <w:rsid w:val="008706F9"/>
    <w:rsid w:val="0087176B"/>
    <w:rsid w:val="0087244B"/>
    <w:rsid w:val="008760AE"/>
    <w:rsid w:val="008773AB"/>
    <w:rsid w:val="00877889"/>
    <w:rsid w:val="008802E7"/>
    <w:rsid w:val="0088694A"/>
    <w:rsid w:val="00891836"/>
    <w:rsid w:val="008928A7"/>
    <w:rsid w:val="008A1619"/>
    <w:rsid w:val="008A2188"/>
    <w:rsid w:val="008A2B08"/>
    <w:rsid w:val="008A3693"/>
    <w:rsid w:val="008A39F4"/>
    <w:rsid w:val="008A52A4"/>
    <w:rsid w:val="008B0796"/>
    <w:rsid w:val="008C2F0F"/>
    <w:rsid w:val="008C3105"/>
    <w:rsid w:val="008C3492"/>
    <w:rsid w:val="008C4C30"/>
    <w:rsid w:val="008C6851"/>
    <w:rsid w:val="008D00E1"/>
    <w:rsid w:val="008D4AFE"/>
    <w:rsid w:val="008D7A2A"/>
    <w:rsid w:val="008E2DC2"/>
    <w:rsid w:val="008E6955"/>
    <w:rsid w:val="008E7D51"/>
    <w:rsid w:val="008F1D63"/>
    <w:rsid w:val="008F785D"/>
    <w:rsid w:val="008F796C"/>
    <w:rsid w:val="008F79AC"/>
    <w:rsid w:val="00911DA9"/>
    <w:rsid w:val="00913DBA"/>
    <w:rsid w:val="00926D7F"/>
    <w:rsid w:val="009273CB"/>
    <w:rsid w:val="00927669"/>
    <w:rsid w:val="0093343B"/>
    <w:rsid w:val="00936204"/>
    <w:rsid w:val="00941E44"/>
    <w:rsid w:val="009428B2"/>
    <w:rsid w:val="00944C9B"/>
    <w:rsid w:val="009455C5"/>
    <w:rsid w:val="00953067"/>
    <w:rsid w:val="00955C93"/>
    <w:rsid w:val="0097572C"/>
    <w:rsid w:val="00976A18"/>
    <w:rsid w:val="00980534"/>
    <w:rsid w:val="0098274C"/>
    <w:rsid w:val="0098296A"/>
    <w:rsid w:val="009942BE"/>
    <w:rsid w:val="00994D18"/>
    <w:rsid w:val="009A1849"/>
    <w:rsid w:val="009A2C63"/>
    <w:rsid w:val="009A7560"/>
    <w:rsid w:val="009B0610"/>
    <w:rsid w:val="009B3424"/>
    <w:rsid w:val="009B5F53"/>
    <w:rsid w:val="009C31A4"/>
    <w:rsid w:val="009C6A79"/>
    <w:rsid w:val="009D2307"/>
    <w:rsid w:val="009D3790"/>
    <w:rsid w:val="009E00C1"/>
    <w:rsid w:val="009E6206"/>
    <w:rsid w:val="009F06F0"/>
    <w:rsid w:val="009F0BCF"/>
    <w:rsid w:val="009F4CB6"/>
    <w:rsid w:val="009F6066"/>
    <w:rsid w:val="00A01372"/>
    <w:rsid w:val="00A0191B"/>
    <w:rsid w:val="00A03342"/>
    <w:rsid w:val="00A0635D"/>
    <w:rsid w:val="00A128CB"/>
    <w:rsid w:val="00A12EDC"/>
    <w:rsid w:val="00A204BB"/>
    <w:rsid w:val="00A21CB5"/>
    <w:rsid w:val="00A21E5E"/>
    <w:rsid w:val="00A41AB9"/>
    <w:rsid w:val="00A474C5"/>
    <w:rsid w:val="00A47FA4"/>
    <w:rsid w:val="00A516D8"/>
    <w:rsid w:val="00A55352"/>
    <w:rsid w:val="00A55E45"/>
    <w:rsid w:val="00A56BD8"/>
    <w:rsid w:val="00A6590C"/>
    <w:rsid w:val="00A66B37"/>
    <w:rsid w:val="00A71A1F"/>
    <w:rsid w:val="00A75477"/>
    <w:rsid w:val="00A839E2"/>
    <w:rsid w:val="00A83F54"/>
    <w:rsid w:val="00A8452F"/>
    <w:rsid w:val="00A8753A"/>
    <w:rsid w:val="00A90AE1"/>
    <w:rsid w:val="00A939AB"/>
    <w:rsid w:val="00A96405"/>
    <w:rsid w:val="00A968A9"/>
    <w:rsid w:val="00A9796A"/>
    <w:rsid w:val="00A97EE2"/>
    <w:rsid w:val="00AA2C46"/>
    <w:rsid w:val="00AA2D5B"/>
    <w:rsid w:val="00AA3EAC"/>
    <w:rsid w:val="00AA4103"/>
    <w:rsid w:val="00AA7F44"/>
    <w:rsid w:val="00AB0481"/>
    <w:rsid w:val="00AB04BA"/>
    <w:rsid w:val="00AB05C3"/>
    <w:rsid w:val="00AB1505"/>
    <w:rsid w:val="00AB2908"/>
    <w:rsid w:val="00AB3E39"/>
    <w:rsid w:val="00AB669D"/>
    <w:rsid w:val="00AB7A1E"/>
    <w:rsid w:val="00AD0213"/>
    <w:rsid w:val="00AD70FC"/>
    <w:rsid w:val="00AE07E9"/>
    <w:rsid w:val="00AE2576"/>
    <w:rsid w:val="00AE271E"/>
    <w:rsid w:val="00AE47D0"/>
    <w:rsid w:val="00AF628F"/>
    <w:rsid w:val="00AF793F"/>
    <w:rsid w:val="00B06F06"/>
    <w:rsid w:val="00B0795E"/>
    <w:rsid w:val="00B103CE"/>
    <w:rsid w:val="00B11CE4"/>
    <w:rsid w:val="00B120C8"/>
    <w:rsid w:val="00B138F3"/>
    <w:rsid w:val="00B22671"/>
    <w:rsid w:val="00B24287"/>
    <w:rsid w:val="00B316BA"/>
    <w:rsid w:val="00B3769B"/>
    <w:rsid w:val="00B42BE3"/>
    <w:rsid w:val="00B4551B"/>
    <w:rsid w:val="00B4552F"/>
    <w:rsid w:val="00B462AE"/>
    <w:rsid w:val="00B515FC"/>
    <w:rsid w:val="00B537C4"/>
    <w:rsid w:val="00B53A41"/>
    <w:rsid w:val="00B54F9C"/>
    <w:rsid w:val="00B620DE"/>
    <w:rsid w:val="00B64D63"/>
    <w:rsid w:val="00B65D64"/>
    <w:rsid w:val="00B67334"/>
    <w:rsid w:val="00B72C21"/>
    <w:rsid w:val="00B74F22"/>
    <w:rsid w:val="00B80E4D"/>
    <w:rsid w:val="00B8146F"/>
    <w:rsid w:val="00B85C16"/>
    <w:rsid w:val="00B866F5"/>
    <w:rsid w:val="00B924D2"/>
    <w:rsid w:val="00B9593F"/>
    <w:rsid w:val="00BA2ABF"/>
    <w:rsid w:val="00BA5DF6"/>
    <w:rsid w:val="00BC2049"/>
    <w:rsid w:val="00BC4530"/>
    <w:rsid w:val="00BC4DFE"/>
    <w:rsid w:val="00BC7ACC"/>
    <w:rsid w:val="00BC7C80"/>
    <w:rsid w:val="00BD313A"/>
    <w:rsid w:val="00BD5987"/>
    <w:rsid w:val="00BD60E6"/>
    <w:rsid w:val="00BD6382"/>
    <w:rsid w:val="00BD7520"/>
    <w:rsid w:val="00BE3D89"/>
    <w:rsid w:val="00BE4AA4"/>
    <w:rsid w:val="00BE5773"/>
    <w:rsid w:val="00BE67BA"/>
    <w:rsid w:val="00BF5ADA"/>
    <w:rsid w:val="00BF710A"/>
    <w:rsid w:val="00C039EE"/>
    <w:rsid w:val="00C0673A"/>
    <w:rsid w:val="00C1479D"/>
    <w:rsid w:val="00C16505"/>
    <w:rsid w:val="00C20D7F"/>
    <w:rsid w:val="00C246B7"/>
    <w:rsid w:val="00C251A2"/>
    <w:rsid w:val="00C27F25"/>
    <w:rsid w:val="00C42458"/>
    <w:rsid w:val="00C44833"/>
    <w:rsid w:val="00C44DDA"/>
    <w:rsid w:val="00C467C2"/>
    <w:rsid w:val="00C46D2C"/>
    <w:rsid w:val="00C47673"/>
    <w:rsid w:val="00C53A6D"/>
    <w:rsid w:val="00C6448B"/>
    <w:rsid w:val="00C65151"/>
    <w:rsid w:val="00C65DEA"/>
    <w:rsid w:val="00C66947"/>
    <w:rsid w:val="00C71A09"/>
    <w:rsid w:val="00C734E0"/>
    <w:rsid w:val="00C74D62"/>
    <w:rsid w:val="00C76CA3"/>
    <w:rsid w:val="00C77750"/>
    <w:rsid w:val="00C80978"/>
    <w:rsid w:val="00C83569"/>
    <w:rsid w:val="00C84555"/>
    <w:rsid w:val="00C92F00"/>
    <w:rsid w:val="00C95783"/>
    <w:rsid w:val="00CA07E3"/>
    <w:rsid w:val="00CA22F8"/>
    <w:rsid w:val="00CB1162"/>
    <w:rsid w:val="00CB120C"/>
    <w:rsid w:val="00CB4C73"/>
    <w:rsid w:val="00CB5AEA"/>
    <w:rsid w:val="00CC08B9"/>
    <w:rsid w:val="00CC1707"/>
    <w:rsid w:val="00CC2B12"/>
    <w:rsid w:val="00CC2B30"/>
    <w:rsid w:val="00CC5D8E"/>
    <w:rsid w:val="00CC78AB"/>
    <w:rsid w:val="00CD2929"/>
    <w:rsid w:val="00CD62B7"/>
    <w:rsid w:val="00CD6D73"/>
    <w:rsid w:val="00CE0B02"/>
    <w:rsid w:val="00CE1DE4"/>
    <w:rsid w:val="00CE42B7"/>
    <w:rsid w:val="00CF0577"/>
    <w:rsid w:val="00CF2120"/>
    <w:rsid w:val="00CF4057"/>
    <w:rsid w:val="00CF429F"/>
    <w:rsid w:val="00CF4AAA"/>
    <w:rsid w:val="00CF6315"/>
    <w:rsid w:val="00D070B0"/>
    <w:rsid w:val="00D07704"/>
    <w:rsid w:val="00D127E5"/>
    <w:rsid w:val="00D174B6"/>
    <w:rsid w:val="00D227A5"/>
    <w:rsid w:val="00D25518"/>
    <w:rsid w:val="00D30E20"/>
    <w:rsid w:val="00D351D0"/>
    <w:rsid w:val="00D4355B"/>
    <w:rsid w:val="00D43E2E"/>
    <w:rsid w:val="00D45848"/>
    <w:rsid w:val="00D46CCC"/>
    <w:rsid w:val="00D5623C"/>
    <w:rsid w:val="00D570E5"/>
    <w:rsid w:val="00D63F64"/>
    <w:rsid w:val="00D653E5"/>
    <w:rsid w:val="00D7063B"/>
    <w:rsid w:val="00D747BC"/>
    <w:rsid w:val="00D758C4"/>
    <w:rsid w:val="00D763E6"/>
    <w:rsid w:val="00D80C98"/>
    <w:rsid w:val="00D8156E"/>
    <w:rsid w:val="00D8163E"/>
    <w:rsid w:val="00D84130"/>
    <w:rsid w:val="00D86671"/>
    <w:rsid w:val="00D8779B"/>
    <w:rsid w:val="00D924F2"/>
    <w:rsid w:val="00D92545"/>
    <w:rsid w:val="00D933AA"/>
    <w:rsid w:val="00D948B1"/>
    <w:rsid w:val="00DA5728"/>
    <w:rsid w:val="00DA5CD0"/>
    <w:rsid w:val="00DB0321"/>
    <w:rsid w:val="00DB3C30"/>
    <w:rsid w:val="00DB4181"/>
    <w:rsid w:val="00DB4D09"/>
    <w:rsid w:val="00DB6AE9"/>
    <w:rsid w:val="00DC2C83"/>
    <w:rsid w:val="00DC6C9A"/>
    <w:rsid w:val="00DC7D58"/>
    <w:rsid w:val="00DD281F"/>
    <w:rsid w:val="00DD44E1"/>
    <w:rsid w:val="00DE17DB"/>
    <w:rsid w:val="00DE44F4"/>
    <w:rsid w:val="00DE71C6"/>
    <w:rsid w:val="00DF0BEC"/>
    <w:rsid w:val="00DF2339"/>
    <w:rsid w:val="00DF4B21"/>
    <w:rsid w:val="00DF7489"/>
    <w:rsid w:val="00DF7514"/>
    <w:rsid w:val="00DF7928"/>
    <w:rsid w:val="00E02502"/>
    <w:rsid w:val="00E0497D"/>
    <w:rsid w:val="00E05B71"/>
    <w:rsid w:val="00E1642E"/>
    <w:rsid w:val="00E16724"/>
    <w:rsid w:val="00E169AB"/>
    <w:rsid w:val="00E216EB"/>
    <w:rsid w:val="00E218B8"/>
    <w:rsid w:val="00E312FE"/>
    <w:rsid w:val="00E3191B"/>
    <w:rsid w:val="00E35F4B"/>
    <w:rsid w:val="00E3644F"/>
    <w:rsid w:val="00E37012"/>
    <w:rsid w:val="00E40C88"/>
    <w:rsid w:val="00E51036"/>
    <w:rsid w:val="00E54275"/>
    <w:rsid w:val="00E61A70"/>
    <w:rsid w:val="00E62B3E"/>
    <w:rsid w:val="00E66ECC"/>
    <w:rsid w:val="00E67EDA"/>
    <w:rsid w:val="00E71C5E"/>
    <w:rsid w:val="00E732EE"/>
    <w:rsid w:val="00E7354A"/>
    <w:rsid w:val="00E84222"/>
    <w:rsid w:val="00E86E5A"/>
    <w:rsid w:val="00E875EF"/>
    <w:rsid w:val="00E937C2"/>
    <w:rsid w:val="00E97DDB"/>
    <w:rsid w:val="00E97FF1"/>
    <w:rsid w:val="00EA2465"/>
    <w:rsid w:val="00EA6873"/>
    <w:rsid w:val="00EA6AD0"/>
    <w:rsid w:val="00EA7515"/>
    <w:rsid w:val="00EB34CC"/>
    <w:rsid w:val="00EB4FFA"/>
    <w:rsid w:val="00EB54DA"/>
    <w:rsid w:val="00EC05E8"/>
    <w:rsid w:val="00ED06F9"/>
    <w:rsid w:val="00ED3444"/>
    <w:rsid w:val="00ED5C44"/>
    <w:rsid w:val="00ED6C09"/>
    <w:rsid w:val="00EE2577"/>
    <w:rsid w:val="00EE5F9E"/>
    <w:rsid w:val="00EF2B0A"/>
    <w:rsid w:val="00EF2D43"/>
    <w:rsid w:val="00EF4A8E"/>
    <w:rsid w:val="00F00674"/>
    <w:rsid w:val="00F017B9"/>
    <w:rsid w:val="00F106EF"/>
    <w:rsid w:val="00F10E62"/>
    <w:rsid w:val="00F12C1D"/>
    <w:rsid w:val="00F154F1"/>
    <w:rsid w:val="00F235B9"/>
    <w:rsid w:val="00F242DC"/>
    <w:rsid w:val="00F25CEB"/>
    <w:rsid w:val="00F25CFE"/>
    <w:rsid w:val="00F2732F"/>
    <w:rsid w:val="00F30393"/>
    <w:rsid w:val="00F35692"/>
    <w:rsid w:val="00F52D46"/>
    <w:rsid w:val="00F53240"/>
    <w:rsid w:val="00F5558B"/>
    <w:rsid w:val="00F63B1B"/>
    <w:rsid w:val="00F67D9C"/>
    <w:rsid w:val="00F7414F"/>
    <w:rsid w:val="00F75843"/>
    <w:rsid w:val="00F84BCF"/>
    <w:rsid w:val="00F87A3C"/>
    <w:rsid w:val="00F87E24"/>
    <w:rsid w:val="00FA4548"/>
    <w:rsid w:val="00FA54E7"/>
    <w:rsid w:val="00FA7472"/>
    <w:rsid w:val="00FB1E1A"/>
    <w:rsid w:val="00FB3A65"/>
    <w:rsid w:val="00FC12F7"/>
    <w:rsid w:val="00FC1C9F"/>
    <w:rsid w:val="00FC47DA"/>
    <w:rsid w:val="00FC4B4F"/>
    <w:rsid w:val="00FC6D2C"/>
    <w:rsid w:val="00FD594B"/>
    <w:rsid w:val="00FD7EFA"/>
    <w:rsid w:val="00FE2627"/>
    <w:rsid w:val="00FE3215"/>
    <w:rsid w:val="00FE53CF"/>
    <w:rsid w:val="00FE6C2E"/>
    <w:rsid w:val="00FE75A5"/>
    <w:rsid w:val="00FE7835"/>
    <w:rsid w:val="00FF1A25"/>
    <w:rsid w:val="00FF1D2E"/>
    <w:rsid w:val="00FF2401"/>
    <w:rsid w:val="00FF4879"/>
    <w:rsid w:val="01A735DA"/>
    <w:rsid w:val="054C4BC2"/>
    <w:rsid w:val="056311D8"/>
    <w:rsid w:val="0605249F"/>
    <w:rsid w:val="06DC7AFB"/>
    <w:rsid w:val="070A424D"/>
    <w:rsid w:val="08F5133D"/>
    <w:rsid w:val="0CCB244F"/>
    <w:rsid w:val="107E75F3"/>
    <w:rsid w:val="10FD29EF"/>
    <w:rsid w:val="11FB4E72"/>
    <w:rsid w:val="15176BC3"/>
    <w:rsid w:val="176B19CD"/>
    <w:rsid w:val="19DA1AF8"/>
    <w:rsid w:val="1B3C675A"/>
    <w:rsid w:val="1B99207C"/>
    <w:rsid w:val="1FB238C5"/>
    <w:rsid w:val="29DB4D34"/>
    <w:rsid w:val="2B0A4307"/>
    <w:rsid w:val="327B24C0"/>
    <w:rsid w:val="32AE46EF"/>
    <w:rsid w:val="33EC56B1"/>
    <w:rsid w:val="344419EB"/>
    <w:rsid w:val="34AE1434"/>
    <w:rsid w:val="38FB42D3"/>
    <w:rsid w:val="39BB24AB"/>
    <w:rsid w:val="3A7215E7"/>
    <w:rsid w:val="3BB23FE4"/>
    <w:rsid w:val="3D18345C"/>
    <w:rsid w:val="42B6790C"/>
    <w:rsid w:val="42D3327F"/>
    <w:rsid w:val="42E27126"/>
    <w:rsid w:val="430618BD"/>
    <w:rsid w:val="43091464"/>
    <w:rsid w:val="43364DD7"/>
    <w:rsid w:val="434A18B6"/>
    <w:rsid w:val="43C45543"/>
    <w:rsid w:val="44254A6C"/>
    <w:rsid w:val="445753AB"/>
    <w:rsid w:val="44E014EF"/>
    <w:rsid w:val="4602735F"/>
    <w:rsid w:val="491443CF"/>
    <w:rsid w:val="49F63B42"/>
    <w:rsid w:val="4A716987"/>
    <w:rsid w:val="4B2427D7"/>
    <w:rsid w:val="4C43772F"/>
    <w:rsid w:val="50D56A92"/>
    <w:rsid w:val="54650BCA"/>
    <w:rsid w:val="546F13B8"/>
    <w:rsid w:val="56AD7ED5"/>
    <w:rsid w:val="5A3E5F25"/>
    <w:rsid w:val="5CCF5044"/>
    <w:rsid w:val="5DA83D23"/>
    <w:rsid w:val="5EA31FAA"/>
    <w:rsid w:val="62A31FD0"/>
    <w:rsid w:val="66E2226F"/>
    <w:rsid w:val="67291722"/>
    <w:rsid w:val="70D10B55"/>
    <w:rsid w:val="71AE0C68"/>
    <w:rsid w:val="723E3429"/>
    <w:rsid w:val="731617BA"/>
    <w:rsid w:val="73DC1DBA"/>
    <w:rsid w:val="74B633DC"/>
    <w:rsid w:val="757917FF"/>
    <w:rsid w:val="798A7481"/>
    <w:rsid w:val="7E93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99" w:semiHidden="0" w:name="Normal (Web)"/>
    <w:lsdException w:uiPriority="0" w:name="HTML Acronym"/>
    <w:lsdException w:qFormat="1" w:unhideWhenUsed="0" w:uiPriority="0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88">
    <w:name w:val="Default Paragraph Font"/>
    <w:unhideWhenUsed/>
    <w:qFormat/>
    <w:uiPriority w:val="1"/>
  </w:style>
  <w:style w:type="table" w:default="1" w:styleId="9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ind w:left="100" w:leftChars="400" w:hanging="200" w:hangingChars="200"/>
    </w:pPr>
  </w:style>
  <w:style w:type="paragraph" w:styleId="12">
    <w:name w:val="annotation subject"/>
    <w:basedOn w:val="13"/>
    <w:next w:val="13"/>
    <w:qFormat/>
    <w:uiPriority w:val="0"/>
    <w:rPr>
      <w:b/>
    </w:rPr>
  </w:style>
  <w:style w:type="paragraph" w:styleId="13">
    <w:name w:val="annotation text"/>
    <w:basedOn w:val="1"/>
    <w:uiPriority w:val="0"/>
    <w:pPr>
      <w:jc w:val="left"/>
    </w:pPr>
  </w:style>
  <w:style w:type="paragraph" w:styleId="14">
    <w:name w:val="toc 7"/>
    <w:basedOn w:val="1"/>
    <w:next w:val="1"/>
    <w:qFormat/>
    <w:uiPriority w:val="0"/>
    <w:pPr>
      <w:ind w:left="2520" w:leftChars="1200"/>
    </w:pPr>
  </w:style>
  <w:style w:type="paragraph" w:styleId="15">
    <w:name w:val="Body Text First Indent"/>
    <w:basedOn w:val="16"/>
    <w:qFormat/>
    <w:uiPriority w:val="0"/>
    <w:pPr>
      <w:ind w:firstLine="420" w:firstLineChars="100"/>
    </w:pPr>
  </w:style>
  <w:style w:type="paragraph" w:styleId="16">
    <w:name w:val="Body Text"/>
    <w:basedOn w:val="1"/>
    <w:qFormat/>
    <w:uiPriority w:val="0"/>
    <w:pPr>
      <w:spacing w:after="120"/>
    </w:pPr>
  </w:style>
  <w:style w:type="paragraph" w:styleId="17">
    <w:name w:val="List Number 2"/>
    <w:basedOn w:val="1"/>
    <w:qFormat/>
    <w:uiPriority w:val="0"/>
    <w:pPr>
      <w:tabs>
        <w:tab w:val="left" w:pos="780"/>
      </w:tabs>
      <w:ind w:left="780" w:hanging="360"/>
    </w:pPr>
  </w:style>
  <w:style w:type="paragraph" w:styleId="18">
    <w:name w:val="table of authorities"/>
    <w:basedOn w:val="1"/>
    <w:next w:val="1"/>
    <w:qFormat/>
    <w:uiPriority w:val="0"/>
    <w:pPr>
      <w:ind w:left="420" w:leftChars="200"/>
    </w:pPr>
  </w:style>
  <w:style w:type="paragraph" w:styleId="19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Times New Roman"/>
      <w:kern w:val="2"/>
      <w:sz w:val="24"/>
      <w:lang w:val="en-US" w:eastAsia="zh-CN" w:bidi="ar-SA"/>
    </w:rPr>
  </w:style>
  <w:style w:type="paragraph" w:styleId="20">
    <w:name w:val="Note Heading"/>
    <w:basedOn w:val="1"/>
    <w:next w:val="1"/>
    <w:qFormat/>
    <w:uiPriority w:val="0"/>
    <w:pPr>
      <w:jc w:val="center"/>
    </w:pPr>
  </w:style>
  <w:style w:type="paragraph" w:styleId="21">
    <w:name w:val="List Bullet 4"/>
    <w:basedOn w:val="1"/>
    <w:qFormat/>
    <w:uiPriority w:val="0"/>
    <w:pPr>
      <w:tabs>
        <w:tab w:val="left" w:pos="1620"/>
      </w:tabs>
      <w:ind w:left="1620" w:hanging="360"/>
    </w:pPr>
  </w:style>
  <w:style w:type="paragraph" w:styleId="22">
    <w:name w:val="index 8"/>
    <w:basedOn w:val="1"/>
    <w:next w:val="1"/>
    <w:qFormat/>
    <w:uiPriority w:val="0"/>
    <w:pPr>
      <w:ind w:left="1400" w:leftChars="1400"/>
    </w:pPr>
  </w:style>
  <w:style w:type="paragraph" w:styleId="23">
    <w:name w:val="E-mail Signature"/>
    <w:basedOn w:val="1"/>
    <w:qFormat/>
    <w:uiPriority w:val="0"/>
  </w:style>
  <w:style w:type="paragraph" w:styleId="24">
    <w:name w:val="List Number"/>
    <w:basedOn w:val="1"/>
    <w:qFormat/>
    <w:uiPriority w:val="0"/>
    <w:pPr>
      <w:tabs>
        <w:tab w:val="left" w:pos="360"/>
      </w:tabs>
      <w:ind w:left="360" w:hanging="360"/>
    </w:pPr>
  </w:style>
  <w:style w:type="paragraph" w:styleId="25">
    <w:name w:val="Normal Indent"/>
    <w:basedOn w:val="1"/>
    <w:qFormat/>
    <w:uiPriority w:val="0"/>
    <w:pPr>
      <w:ind w:firstLine="420" w:firstLineChars="200"/>
    </w:pPr>
  </w:style>
  <w:style w:type="paragraph" w:styleId="26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27">
    <w:name w:val="index 5"/>
    <w:basedOn w:val="1"/>
    <w:next w:val="1"/>
    <w:qFormat/>
    <w:uiPriority w:val="0"/>
    <w:pPr>
      <w:ind w:left="800" w:leftChars="800"/>
    </w:pPr>
  </w:style>
  <w:style w:type="paragraph" w:styleId="28">
    <w:name w:val="List Bullet"/>
    <w:basedOn w:val="1"/>
    <w:qFormat/>
    <w:uiPriority w:val="0"/>
    <w:pPr>
      <w:tabs>
        <w:tab w:val="left" w:pos="360"/>
      </w:tabs>
      <w:ind w:left="360" w:hanging="360"/>
    </w:pPr>
  </w:style>
  <w:style w:type="paragraph" w:styleId="29">
    <w:name w:val="envelope address"/>
    <w:basedOn w:val="1"/>
    <w:qFormat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30">
    <w:name w:val="Document Map"/>
    <w:basedOn w:val="1"/>
    <w:qFormat/>
    <w:uiPriority w:val="0"/>
    <w:pPr>
      <w:shd w:val="clear" w:color="auto" w:fill="000080"/>
    </w:pPr>
  </w:style>
  <w:style w:type="paragraph" w:styleId="31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2">
    <w:name w:val="index 6"/>
    <w:basedOn w:val="1"/>
    <w:next w:val="1"/>
    <w:qFormat/>
    <w:uiPriority w:val="0"/>
    <w:pPr>
      <w:ind w:left="1000" w:leftChars="1000"/>
    </w:pPr>
  </w:style>
  <w:style w:type="paragraph" w:styleId="33">
    <w:name w:val="Salutation"/>
    <w:basedOn w:val="1"/>
    <w:next w:val="1"/>
    <w:qFormat/>
    <w:uiPriority w:val="0"/>
  </w:style>
  <w:style w:type="paragraph" w:styleId="34">
    <w:name w:val="Body Text 3"/>
    <w:basedOn w:val="1"/>
    <w:qFormat/>
    <w:uiPriority w:val="0"/>
    <w:pPr>
      <w:spacing w:after="120"/>
    </w:pPr>
    <w:rPr>
      <w:sz w:val="16"/>
    </w:rPr>
  </w:style>
  <w:style w:type="paragraph" w:styleId="35">
    <w:name w:val="Closing"/>
    <w:basedOn w:val="1"/>
    <w:qFormat/>
    <w:uiPriority w:val="0"/>
    <w:pPr>
      <w:ind w:left="100" w:leftChars="2100"/>
    </w:pPr>
  </w:style>
  <w:style w:type="paragraph" w:styleId="36">
    <w:name w:val="List Bullet 3"/>
    <w:basedOn w:val="1"/>
    <w:qFormat/>
    <w:uiPriority w:val="0"/>
    <w:pPr>
      <w:tabs>
        <w:tab w:val="left" w:pos="1200"/>
      </w:tabs>
      <w:ind w:left="1200" w:hanging="360"/>
    </w:pPr>
  </w:style>
  <w:style w:type="paragraph" w:styleId="37">
    <w:name w:val="Body Text Indent"/>
    <w:basedOn w:val="1"/>
    <w:qFormat/>
    <w:uiPriority w:val="0"/>
    <w:pPr>
      <w:spacing w:after="120"/>
      <w:ind w:left="420" w:leftChars="200"/>
    </w:pPr>
  </w:style>
  <w:style w:type="paragraph" w:styleId="38">
    <w:name w:val="List Number 3"/>
    <w:basedOn w:val="1"/>
    <w:qFormat/>
    <w:uiPriority w:val="0"/>
    <w:pPr>
      <w:tabs>
        <w:tab w:val="left" w:pos="1200"/>
      </w:tabs>
      <w:ind w:left="1200" w:hanging="360"/>
    </w:pPr>
  </w:style>
  <w:style w:type="paragraph" w:styleId="39">
    <w:name w:val="List 2"/>
    <w:basedOn w:val="1"/>
    <w:qFormat/>
    <w:uiPriority w:val="0"/>
    <w:pPr>
      <w:ind w:left="100" w:leftChars="200" w:hanging="200" w:hangingChars="200"/>
    </w:pPr>
  </w:style>
  <w:style w:type="paragraph" w:styleId="40">
    <w:name w:val="List Continue"/>
    <w:basedOn w:val="1"/>
    <w:qFormat/>
    <w:uiPriority w:val="0"/>
    <w:pPr>
      <w:spacing w:after="120"/>
      <w:ind w:left="420" w:leftChars="200"/>
    </w:pPr>
  </w:style>
  <w:style w:type="paragraph" w:styleId="41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42">
    <w:name w:val="List Bullet 2"/>
    <w:basedOn w:val="1"/>
    <w:qFormat/>
    <w:uiPriority w:val="0"/>
    <w:pPr>
      <w:tabs>
        <w:tab w:val="left" w:pos="780"/>
      </w:tabs>
      <w:ind w:left="780" w:hanging="360"/>
    </w:pPr>
  </w:style>
  <w:style w:type="paragraph" w:styleId="43">
    <w:name w:val="HTML Address"/>
    <w:basedOn w:val="1"/>
    <w:qFormat/>
    <w:uiPriority w:val="0"/>
    <w:rPr>
      <w:i/>
    </w:rPr>
  </w:style>
  <w:style w:type="paragraph" w:styleId="44">
    <w:name w:val="index 4"/>
    <w:basedOn w:val="1"/>
    <w:next w:val="1"/>
    <w:qFormat/>
    <w:uiPriority w:val="0"/>
    <w:pPr>
      <w:ind w:left="600" w:leftChars="600"/>
    </w:pPr>
  </w:style>
  <w:style w:type="paragraph" w:styleId="45">
    <w:name w:val="toc 5"/>
    <w:basedOn w:val="1"/>
    <w:next w:val="1"/>
    <w:qFormat/>
    <w:uiPriority w:val="0"/>
    <w:pPr>
      <w:ind w:left="1680" w:leftChars="800"/>
    </w:pPr>
  </w:style>
  <w:style w:type="paragraph" w:styleId="46">
    <w:name w:val="toc 3"/>
    <w:basedOn w:val="1"/>
    <w:next w:val="1"/>
    <w:qFormat/>
    <w:uiPriority w:val="0"/>
    <w:pPr>
      <w:ind w:left="840" w:leftChars="400"/>
    </w:pPr>
  </w:style>
  <w:style w:type="paragraph" w:styleId="47">
    <w:name w:val="Plain Text"/>
    <w:basedOn w:val="1"/>
    <w:qFormat/>
    <w:uiPriority w:val="0"/>
    <w:rPr>
      <w:rFonts w:ascii="宋体" w:hAnsi="Courier New"/>
    </w:rPr>
  </w:style>
  <w:style w:type="paragraph" w:styleId="48">
    <w:name w:val="List Bullet 5"/>
    <w:basedOn w:val="1"/>
    <w:qFormat/>
    <w:uiPriority w:val="0"/>
    <w:pPr>
      <w:tabs>
        <w:tab w:val="left" w:pos="2040"/>
      </w:tabs>
      <w:ind w:left="2040" w:hanging="360"/>
    </w:pPr>
  </w:style>
  <w:style w:type="paragraph" w:styleId="49">
    <w:name w:val="List Number 4"/>
    <w:basedOn w:val="1"/>
    <w:qFormat/>
    <w:uiPriority w:val="0"/>
    <w:pPr>
      <w:tabs>
        <w:tab w:val="left" w:pos="1620"/>
      </w:tabs>
      <w:ind w:left="1620" w:hanging="360"/>
    </w:pPr>
  </w:style>
  <w:style w:type="paragraph" w:styleId="50">
    <w:name w:val="toc 8"/>
    <w:basedOn w:val="1"/>
    <w:next w:val="1"/>
    <w:qFormat/>
    <w:uiPriority w:val="0"/>
    <w:pPr>
      <w:ind w:left="2940" w:leftChars="1400"/>
    </w:pPr>
  </w:style>
  <w:style w:type="paragraph" w:styleId="51">
    <w:name w:val="index 3"/>
    <w:basedOn w:val="1"/>
    <w:next w:val="1"/>
    <w:qFormat/>
    <w:uiPriority w:val="0"/>
    <w:pPr>
      <w:ind w:left="400" w:leftChars="400"/>
    </w:pPr>
  </w:style>
  <w:style w:type="paragraph" w:styleId="52">
    <w:name w:val="Date"/>
    <w:basedOn w:val="1"/>
    <w:next w:val="1"/>
    <w:qFormat/>
    <w:uiPriority w:val="0"/>
    <w:pPr>
      <w:ind w:left="100" w:leftChars="2500"/>
    </w:pPr>
  </w:style>
  <w:style w:type="paragraph" w:styleId="5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4">
    <w:name w:val="endnote text"/>
    <w:basedOn w:val="1"/>
    <w:qFormat/>
    <w:uiPriority w:val="0"/>
    <w:pPr>
      <w:snapToGrid w:val="0"/>
      <w:jc w:val="left"/>
    </w:pPr>
  </w:style>
  <w:style w:type="paragraph" w:styleId="55">
    <w:name w:val="List Continue 5"/>
    <w:basedOn w:val="1"/>
    <w:qFormat/>
    <w:uiPriority w:val="0"/>
    <w:pPr>
      <w:spacing w:after="120"/>
      <w:ind w:left="2100" w:leftChars="1000"/>
    </w:pPr>
  </w:style>
  <w:style w:type="paragraph" w:styleId="56">
    <w:name w:val="Balloon Text"/>
    <w:basedOn w:val="1"/>
    <w:qFormat/>
    <w:uiPriority w:val="0"/>
    <w:rPr>
      <w:sz w:val="18"/>
    </w:rPr>
  </w:style>
  <w:style w:type="paragraph" w:styleId="5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9">
    <w:name w:val="Body Text First Indent 2"/>
    <w:basedOn w:val="37"/>
    <w:qFormat/>
    <w:uiPriority w:val="0"/>
    <w:pPr>
      <w:ind w:firstLine="420" w:firstLineChars="200"/>
    </w:pPr>
  </w:style>
  <w:style w:type="paragraph" w:styleId="60">
    <w:name w:val="header"/>
    <w:basedOn w:val="1"/>
    <w:link w:val="9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</w:rPr>
  </w:style>
  <w:style w:type="paragraph" w:styleId="61">
    <w:name w:val="Signature"/>
    <w:basedOn w:val="1"/>
    <w:qFormat/>
    <w:uiPriority w:val="0"/>
    <w:pPr>
      <w:ind w:left="100" w:leftChars="2100"/>
    </w:pPr>
  </w:style>
  <w:style w:type="paragraph" w:styleId="62">
    <w:name w:val="toc 1"/>
    <w:basedOn w:val="1"/>
    <w:next w:val="1"/>
    <w:qFormat/>
    <w:uiPriority w:val="0"/>
  </w:style>
  <w:style w:type="paragraph" w:styleId="63">
    <w:name w:val="List Continue 4"/>
    <w:basedOn w:val="1"/>
    <w:qFormat/>
    <w:uiPriority w:val="0"/>
    <w:pPr>
      <w:spacing w:after="120"/>
      <w:ind w:left="1680" w:leftChars="800"/>
    </w:pPr>
  </w:style>
  <w:style w:type="paragraph" w:styleId="64">
    <w:name w:val="toc 4"/>
    <w:basedOn w:val="1"/>
    <w:next w:val="1"/>
    <w:qFormat/>
    <w:uiPriority w:val="0"/>
    <w:pPr>
      <w:ind w:left="1260" w:leftChars="600"/>
    </w:pPr>
  </w:style>
  <w:style w:type="paragraph" w:styleId="65">
    <w:name w:val="index heading"/>
    <w:basedOn w:val="1"/>
    <w:next w:val="66"/>
    <w:qFormat/>
    <w:uiPriority w:val="0"/>
    <w:rPr>
      <w:rFonts w:ascii="Arial" w:hAnsi="Arial"/>
      <w:b/>
    </w:rPr>
  </w:style>
  <w:style w:type="paragraph" w:styleId="66">
    <w:name w:val="index 1"/>
    <w:basedOn w:val="1"/>
    <w:next w:val="1"/>
    <w:qFormat/>
    <w:uiPriority w:val="0"/>
  </w:style>
  <w:style w:type="paragraph" w:styleId="67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68">
    <w:name w:val="List Number 5"/>
    <w:basedOn w:val="1"/>
    <w:qFormat/>
    <w:uiPriority w:val="0"/>
    <w:pPr>
      <w:tabs>
        <w:tab w:val="left" w:pos="2040"/>
      </w:tabs>
      <w:ind w:left="2040" w:hanging="360"/>
    </w:pPr>
  </w:style>
  <w:style w:type="paragraph" w:styleId="69">
    <w:name w:val="List"/>
    <w:basedOn w:val="1"/>
    <w:qFormat/>
    <w:uiPriority w:val="0"/>
    <w:pPr>
      <w:ind w:left="200" w:hanging="200" w:hangingChars="200"/>
    </w:pPr>
  </w:style>
  <w:style w:type="paragraph" w:styleId="7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1">
    <w:name w:val="toc 6"/>
    <w:basedOn w:val="1"/>
    <w:next w:val="1"/>
    <w:qFormat/>
    <w:uiPriority w:val="0"/>
    <w:pPr>
      <w:ind w:left="2100" w:leftChars="1000"/>
    </w:pPr>
  </w:style>
  <w:style w:type="paragraph" w:styleId="72">
    <w:name w:val="List 5"/>
    <w:basedOn w:val="1"/>
    <w:qFormat/>
    <w:uiPriority w:val="0"/>
    <w:pPr>
      <w:ind w:left="100" w:leftChars="800" w:hanging="200" w:hangingChars="200"/>
    </w:pPr>
  </w:style>
  <w:style w:type="paragraph" w:styleId="73">
    <w:name w:val="Body Text Indent 3"/>
    <w:basedOn w:val="1"/>
    <w:qFormat/>
    <w:uiPriority w:val="0"/>
    <w:pPr>
      <w:spacing w:line="300" w:lineRule="auto"/>
      <w:ind w:firstLine="480" w:firstLineChars="200"/>
    </w:pPr>
    <w:rPr>
      <w:sz w:val="24"/>
    </w:rPr>
  </w:style>
  <w:style w:type="paragraph" w:styleId="74">
    <w:name w:val="index 7"/>
    <w:basedOn w:val="1"/>
    <w:next w:val="1"/>
    <w:qFormat/>
    <w:uiPriority w:val="0"/>
    <w:pPr>
      <w:ind w:left="1200" w:leftChars="1200"/>
    </w:pPr>
  </w:style>
  <w:style w:type="paragraph" w:styleId="75">
    <w:name w:val="index 9"/>
    <w:basedOn w:val="1"/>
    <w:next w:val="1"/>
    <w:qFormat/>
    <w:uiPriority w:val="0"/>
    <w:pPr>
      <w:ind w:left="1600" w:leftChars="1600"/>
    </w:pPr>
  </w:style>
  <w:style w:type="paragraph" w:styleId="76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77">
    <w:name w:val="toc 2"/>
    <w:basedOn w:val="1"/>
    <w:next w:val="1"/>
    <w:qFormat/>
    <w:uiPriority w:val="0"/>
    <w:pPr>
      <w:ind w:left="420" w:leftChars="200"/>
    </w:pPr>
  </w:style>
  <w:style w:type="paragraph" w:styleId="78">
    <w:name w:val="toc 9"/>
    <w:basedOn w:val="1"/>
    <w:next w:val="1"/>
    <w:qFormat/>
    <w:uiPriority w:val="0"/>
    <w:pPr>
      <w:ind w:left="3360" w:leftChars="1600"/>
    </w:pPr>
  </w:style>
  <w:style w:type="paragraph" w:styleId="79">
    <w:name w:val="Body Text 2"/>
    <w:basedOn w:val="1"/>
    <w:qFormat/>
    <w:uiPriority w:val="0"/>
    <w:pPr>
      <w:spacing w:after="120" w:line="480" w:lineRule="auto"/>
    </w:pPr>
  </w:style>
  <w:style w:type="paragraph" w:styleId="80">
    <w:name w:val="List 4"/>
    <w:basedOn w:val="1"/>
    <w:qFormat/>
    <w:uiPriority w:val="0"/>
    <w:pPr>
      <w:ind w:left="100" w:leftChars="600" w:hanging="200" w:hangingChars="200"/>
    </w:pPr>
  </w:style>
  <w:style w:type="paragraph" w:styleId="81">
    <w:name w:val="List Continue 2"/>
    <w:basedOn w:val="1"/>
    <w:uiPriority w:val="0"/>
    <w:pPr>
      <w:spacing w:after="120"/>
      <w:ind w:left="840" w:leftChars="400"/>
    </w:pPr>
  </w:style>
  <w:style w:type="paragraph" w:styleId="8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3">
    <w:name w:val="HTML Preformatted"/>
    <w:basedOn w:val="1"/>
    <w:link w:val="100"/>
    <w:uiPriority w:val="0"/>
    <w:rPr>
      <w:rFonts w:ascii="Courier New" w:hAnsi="Courier New"/>
      <w:sz w:val="20"/>
    </w:rPr>
  </w:style>
  <w:style w:type="paragraph" w:styleId="84">
    <w:name w:val="Normal (Web)"/>
    <w:basedOn w:val="1"/>
    <w:qFormat/>
    <w:uiPriority w:val="99"/>
    <w:rPr>
      <w:sz w:val="24"/>
    </w:rPr>
  </w:style>
  <w:style w:type="paragraph" w:styleId="85">
    <w:name w:val="List Continue 3"/>
    <w:basedOn w:val="1"/>
    <w:uiPriority w:val="0"/>
    <w:pPr>
      <w:spacing w:after="120"/>
      <w:ind w:left="1260" w:leftChars="600"/>
    </w:pPr>
  </w:style>
  <w:style w:type="paragraph" w:styleId="86">
    <w:name w:val="index 2"/>
    <w:basedOn w:val="1"/>
    <w:next w:val="1"/>
    <w:uiPriority w:val="0"/>
    <w:pPr>
      <w:ind w:left="200" w:leftChars="200"/>
    </w:pPr>
  </w:style>
  <w:style w:type="paragraph" w:styleId="8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89">
    <w:name w:val="Strong"/>
    <w:qFormat/>
    <w:uiPriority w:val="0"/>
    <w:rPr>
      <w:b/>
    </w:rPr>
  </w:style>
  <w:style w:type="character" w:styleId="90">
    <w:name w:val="page number"/>
    <w:basedOn w:val="88"/>
    <w:qFormat/>
    <w:uiPriority w:val="0"/>
  </w:style>
  <w:style w:type="character" w:styleId="91">
    <w:name w:val="Emphasis"/>
    <w:qFormat/>
    <w:uiPriority w:val="0"/>
    <w:rPr>
      <w:color w:val="CC0000"/>
    </w:rPr>
  </w:style>
  <w:style w:type="character" w:styleId="92">
    <w:name w:val="Hyperlink"/>
    <w:qFormat/>
    <w:uiPriority w:val="0"/>
    <w:rPr>
      <w:color w:val="000000"/>
      <w:u w:val="none"/>
    </w:rPr>
  </w:style>
  <w:style w:type="table" w:styleId="94">
    <w:name w:val="Table Grid"/>
    <w:basedOn w:val="93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95">
    <w:name w:val="underline1"/>
    <w:qFormat/>
    <w:uiPriority w:val="0"/>
    <w:rPr>
      <w:u w:val="single"/>
    </w:rPr>
  </w:style>
  <w:style w:type="character" w:customStyle="1" w:styleId="96">
    <w:name w:val="页眉 字符"/>
    <w:link w:val="60"/>
    <w:qFormat/>
    <w:uiPriority w:val="0"/>
    <w:rPr>
      <w:rFonts w:ascii="Calibri" w:hAnsi="Calibri" w:eastAsia="宋体"/>
      <w:kern w:val="2"/>
      <w:sz w:val="18"/>
      <w:lang w:val="en-US" w:eastAsia="zh-CN"/>
    </w:rPr>
  </w:style>
  <w:style w:type="character" w:customStyle="1" w:styleId="97">
    <w:name w:val="lbldetailcontent1"/>
    <w:qFormat/>
    <w:uiPriority w:val="0"/>
  </w:style>
  <w:style w:type="character" w:customStyle="1" w:styleId="98">
    <w:name w:val="不明显强调1"/>
    <w:qFormat/>
    <w:uiPriority w:val="0"/>
    <w:rPr>
      <w:i/>
      <w:color w:val="808080"/>
    </w:rPr>
  </w:style>
  <w:style w:type="character" w:customStyle="1" w:styleId="99">
    <w:name w:val="txtcontent11"/>
    <w:qFormat/>
    <w:uiPriority w:val="0"/>
    <w:rPr>
      <w:rFonts w:hint="default" w:ascii="ˎ̥" w:hAnsi="ˎ̥"/>
      <w:color w:val="000000"/>
      <w:sz w:val="21"/>
    </w:rPr>
  </w:style>
  <w:style w:type="character" w:customStyle="1" w:styleId="100">
    <w:name w:val="HTML 预设格式 字符"/>
    <w:link w:val="83"/>
    <w:qFormat/>
    <w:uiPriority w:val="0"/>
    <w:rPr>
      <w:rFonts w:ascii="Courier New" w:hAnsi="Courier New"/>
      <w:kern w:val="2"/>
    </w:rPr>
  </w:style>
  <w:style w:type="paragraph" w:customStyle="1" w:styleId="101">
    <w:name w:val="z-窗体顶端1"/>
    <w:basedOn w:val="1"/>
    <w:next w:val="1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0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3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/>
      <w:kern w:val="0"/>
      <w:sz w:val="24"/>
    </w:rPr>
  </w:style>
  <w:style w:type="paragraph" w:customStyle="1" w:styleId="104">
    <w:name w:val="z-窗体底端1"/>
    <w:basedOn w:val="1"/>
    <w:next w:val="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0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06">
    <w:name w:val="Char"/>
    <w:basedOn w:val="1"/>
    <w:qFormat/>
    <w:uiPriority w:val="0"/>
    <w:pPr>
      <w:tabs>
        <w:tab w:val="left" w:pos="360"/>
      </w:tabs>
    </w:pPr>
    <w:rPr>
      <w:rFonts w:ascii="Courier New" w:hAnsi="Courier New"/>
    </w:rPr>
  </w:style>
  <w:style w:type="paragraph" w:customStyle="1" w:styleId="10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lang w:val="en-US" w:eastAsia="zh-CN" w:bidi="ar-SA"/>
    </w:rPr>
  </w:style>
  <w:style w:type="paragraph" w:customStyle="1" w:styleId="108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09">
    <w:name w:val="apple-converted-space"/>
    <w:basedOn w:val="88"/>
    <w:qFormat/>
    <w:uiPriority w:val="0"/>
  </w:style>
  <w:style w:type="character" w:customStyle="1" w:styleId="110">
    <w:name w:val="hqspan"/>
    <w:basedOn w:val="88"/>
    <w:qFormat/>
    <w:uiPriority w:val="0"/>
  </w:style>
  <w:style w:type="table" w:customStyle="1" w:styleId="111">
    <w:name w:val="浅色底纹 - 强调文字颜色 11"/>
    <w:basedOn w:val="93"/>
    <w:qFormat/>
    <w:uiPriority w:val="60"/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12">
    <w:name w:val="black41"/>
    <w:basedOn w:val="88"/>
    <w:qFormat/>
    <w:uiPriority w:val="0"/>
    <w:rPr>
      <w:rFonts w:hint="default" w:ascii="ˎ̥" w:hAnsi="ˎ̥"/>
      <w:b/>
      <w:bCs/>
      <w:color w:val="000000"/>
      <w:sz w:val="24"/>
      <w:szCs w:val="24"/>
    </w:rPr>
  </w:style>
  <w:style w:type="paragraph" w:customStyle="1" w:styleId="113">
    <w:name w:val="comment_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Administrator\Application%20Data\Tencent\Users\546561691\QQ\WinTemp\RichOle\0)8_BB~N77$%7bE0Z8%7dY~7UIU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12BF17-73B8-4B3B-AB62-776BC39425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1116</Words>
  <Characters>6363</Characters>
  <Lines>53</Lines>
  <Paragraphs>14</Paragraphs>
  <ScaleCrop>false</ScaleCrop>
  <LinksUpToDate>false</LinksUpToDate>
  <CharactersWithSpaces>7465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2017-10-08T14:06:00Z</dcterms:created>
  <dc:creator>微软用户</dc:creator>
  <cp:lastModifiedBy>yodelchu</cp:lastModifiedBy>
  <cp:lastPrinted>2017-11-26T12:59:00Z</cp:lastPrinted>
  <dcterms:modified xsi:type="dcterms:W3CDTF">2017-12-17T12:17:28Z</dcterms:modified>
  <dc:title>避险拉动，金牛隐现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